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VSBES.2020.36 vom 7. Januar 2020</w:t>
      </w:r>
    </w:p>
    <w:p>
      <w:r>
        <w:t>SO Obergericht, 2020-01-07, DE</w:t>
      </w:r>
    </w:p>
    <w:p>
      <w:r>
        <w:rPr>
          <w:b/>
        </w:rPr>
        <w:t xml:space="preserve">Quelle: </w:t>
      </w:r>
      <w:r>
        <w:t>https://mcp.opencaselaw.ch/entscheid/so_gerichte_VSBES.2020.36</w:t>
      </w:r>
    </w:p>
    <w:p>
      <w:r>
        <w:t>FR: SO_GERICHTE VSBES.2020.36 du 7 janvier 2020</w:t>
      </w:r>
    </w:p>
    <w:p>
      <w:r>
        <w:t>IT: SO_GERICHTE VSBES.2020.36 del 7 gennaio 2020</w:t>
      </w:r>
    </w:p>
    <w:p>
      <w:pPr>
        <w:pStyle w:val="Heading2"/>
      </w:pPr>
      <w:r>
        <w:t>Erwägungen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ein Anspruch auf eine halbe Rente und bei einem Invaliditätsgrad von mindestens 40 % ein solcher auf eine Viertelsrente.</w:t>
      </w:r>
    </w:p>
    <w:p>
      <w:r>
        <w:t>2.2     Arbeitsunfähigkeit ist gemäss Art. 6 Bundesgesetz über den Allgemeinen Teil des Sozialversicherungsrechts (ATSG, SR 830.1)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w:t>
      </w:r>
    </w:p>
    <w:p>
      <w:r>
        <w:rPr>
          <w:b/>
        </w:rPr>
        <w:t>E. 7</w:t>
      </w:r>
    </w:p>
    <w:p>
      <w:r>
        <w:t>Januar 2020 aufgehoben und die Sache an die IV-Stelle zurückgewiesen, damit sie im Sinne der Erwägungen verfährt und hierauf neu entscheidet.</w:t>
      </w:r>
    </w:p>
    <w:p>
      <w:r>
        <w:t>2.Die IV-Stelle des Kantons Solothurn hat der Beschwerdeführerin eine Parteientschädigung von CHF 988.15 (inkl. Auslagen und MwSt) zu bezahlen.</w:t>
      </w:r>
    </w:p>
    <w:p>
      <w:r>
        <w:t>3.Die IV-Stelle des Kantons Solothurn hat die Verfahrenskosten von CHF 600.00 zu bezahlen. Der geleistete Kostenvorschuss von CHF 600.00 wird der Beschwerdeführerin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Die Gerichtsschreiberin</w:t>
      </w:r>
    </w:p>
    <w:p>
      <w:r>
        <w:t>Weber-Probst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