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VSBES.2020.218 vom 22. Oktober 2020</w:t>
      </w:r>
    </w:p>
    <w:p>
      <w:r>
        <w:t>SO Obergericht, 2020-10-22, DE</w:t>
      </w:r>
    </w:p>
    <w:p>
      <w:r>
        <w:rPr>
          <w:b/>
        </w:rPr>
        <w:t xml:space="preserve">Quelle: </w:t>
      </w:r>
      <w:r>
        <w:t>https://mcp.opencaselaw.ch/entscheid/so_gerichte_VSBES.2020.218</w:t>
      </w:r>
    </w:p>
    <w:p>
      <w:r>
        <w:t>FR: SO_GERICHTE VSBES.2020.218 du 22 octobre 2020</w:t>
      </w:r>
    </w:p>
    <w:p>
      <w:r>
        <w:t>IT: SO_GERICHTE VSBES.2020.218 del 22 ottobre 2020</w:t>
      </w:r>
    </w:p>
    <w:p>
      <w:pPr>
        <w:pStyle w:val="Heading2"/>
      </w:pPr>
      <w:r>
        <w:t>Erwägungen</w:t>
      </w:r>
    </w:p>
    <w:p>
      <w:r>
        <w:rPr>
          <w:b/>
        </w:rPr>
        <w:t>E. 6</w:t>
      </w:r>
    </w:p>
    <w:p>
      <w:r>
        <w:t>6.1     Bei diesem Verfahrensausgang besteht kein Anspruch auf eine Parteientschädigung. 6.2     Der Streit um die Drittauszahlung einer Invalidenrente nach Art. 50 IVG und Art. 84 IVV i.V.m. Art. 45 AHVG und Art. 76 AHVV betrifft nicht die Bewilligung oder Verweigerung von Versicherungsleistungen, weshalb das Verfahren vor dem Versicherungsgericht kostenlos ist (Art. 63 Abs. 1bis IVG e contrario; BGE 121 V 17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