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VSBES.2020.209 vom 18. September 2020</w:t>
      </w:r>
    </w:p>
    <w:p>
      <w:r>
        <w:t>SO Obergericht, 2020-09-18, DE</w:t>
      </w:r>
    </w:p>
    <w:p>
      <w:r>
        <w:rPr>
          <w:b/>
        </w:rPr>
        <w:t xml:space="preserve">Quelle: </w:t>
      </w:r>
      <w:r>
        <w:t>https://mcp.opencaselaw.ch/entscheid/so_gerichte_VSBES.2020.209</w:t>
      </w:r>
    </w:p>
    <w:p>
      <w:r>
        <w:t>FR: SO_GERICHTE VSBES.2020.209 du 18 septembre 2020</w:t>
      </w:r>
    </w:p>
    <w:p>
      <w:r>
        <w:t>IT: SO_GERICHTE VSBES.2020.209 del 18 settembre 2020</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18. September 2020) eingetretenen Sachverhalt abzustellen (BGE 144 V 224 E. 6.1.1 S. 232, 131 V 242 E. 2.1 S. 243).</w:t>
      </w:r>
    </w:p>
    <w:p>
      <w:r>
        <w:rPr>
          <w:b/>
        </w:rPr>
        <w:t>E. 2</w:t>
      </w:r>
    </w:p>
    <w:p>
      <w:r>
        <w:t>2.1     Die Beschwerdeführerin rügt zunächst eine Verletzung ihres Anspruchs auf rechtliches Gehör. Sie macht geltend, die Beschwerdegegnerin habe ihr vor dem Erlass der angefochtenen Verfügung vom 18. September 2020 die Stellungnahme des Regionalen Ärztlichen Dienstes (RAD) vom 9. September 2020 (IV-Nr. 259) weder zur Kenntnis- noch zur Stellungnahme unterbreitet. Damit liege eine schwere Gehörsverletzung vor. Angesichts der Schwere der Gehörsverletzung rechtfertige sich eine Rückweisung der Sache an die Beschwerdegegnerin. Dies werde nicht als «formalistischer Leerlauf» angesehen (Beschwerde Ziff. 3 S. 3 ff.; A.S. 5 ff.).</w:t>
      </w:r>
    </w:p>
    <w:p>
      <w:r>
        <w:t>2.2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2.3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2.4     Der Beschwerdeführerin wurde die Stellungnahme des RAD-Arztes Dr. med. F.___, Facharzt für Psychiatrie und Psychotherapie, vom 9. September 2020 (IV-Nr. 259), erst zusammen mit der angefochtenen Verfügung vom 18. September 2020 zugestellt, womit es der Beschwerdeführerin in der Tat verwehrt wurde, sich vor Erlass der Verfügung dazu zu äussern. Inhaltlich hält der RAD-Arzt im Bericht im Resultat lediglich fest, dass eine gesundheitliche Verschlechterung seit Oktober 2017 zwar nicht ganz ausgeschlossen werden könne, dass sie aber eher wenig wahrscheinlich sei, zumal es sich insgesamt um einen sehr langen, stabil wirkenden Krankheitsverlauf handle (IV-Nr. 259). Die Beschwerdegegnerin stützte sich in ihrer Verfügung zwar unter anderem auf diese RAD-Stellungnahme. Dabei handelt es sich aber nicht um eine eigenständige fachmedizinische Einschätzung des RAD, sondern lediglich um eine versicherungsinterne Würdigung der vorhandenen und der Beschwerdeführerin bekannten Akten. Das rechtliche Gehör wäre zudem dann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RAD-Stellungnahme enthaltende Würdigung enthält jedoch keine neue medizinische Erkenntnis oder Behauptung, welche nicht den Akten entnommen werden kann. Der RAD-Bericht hat der Beschwerdeführerin somit nicht zwingend zugestellt werden müssen, so dass diesbezüglich keine Verletzung des rechtlichen Gehörs vorliegt. Im Übrigen würde es sich selbst bei Bejahung einer Gehörsverletzung um einen ohne Weiteres heilbaren Mangel handeln.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der genannten RAD-Stellungnahme hat äussern können. Im Übrigen ist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die RAD-Stellungnahme der Beschwerdeführerin vor Erlass der Verfügung zugestellt worden wäre.</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Gemäss Art. 28 Abs. 2 IVG besteht bei einem Invaliditätsgrad ab 40 % ein Anspruch auf eine Viertelsrente, ab 50 % auf eine halbe Rente, ab 60 % auf eine Dreiviertelsrente und ab 70 % auf eine ganze Rente. Der Rentenanspruch entsteht frühestens nach Ablauf von sechs Monaten nach Geltendmachung des Leistungsanspruchs nach Art. 29 Abs. 1 ATSG (Art. 29 Abs. 1 IVG).</w:t>
      </w:r>
    </w:p>
    <w:p>
      <w:r>
        <w:t>3.3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4</w:t>
      </w:r>
    </w:p>
    <w:p>
      <w:r>
        <w:t>mois après sa protonthérapie complémentaire (Optis 2 : 60Gy en 4 fractions) après exérèse chirurgicale sur place, suivi d'un mapping conjonctival à Lausanne, pour une exérèse incomplète dun carcinome épidermoïde de la caroncule de lOD (il fonctionnellement unique).</w:t>
      </w:r>
    </w:p>
    <w:p>
      <w:r>
        <w:t>L'acuité visuelle est conservée à 1.0p contre l'énumération des doigts dans l'il controlatéral gauche, en rélation avec une amblyopie myopique unilatérale forte. Au niveau du cul-de-sac cornéo-conjonctival droit, il n'y a aucun signe d'une récidive clinique de son carcinome épidermoïde. Le segment antérieur était parfaitement calme avec une TO à 12 mmHg, symétrique sans aucun traitement topique autre que du Lacrycon la journée et de la Vitamine A pomm. la nuit. Un symblépharon discret est présent au niveau du cul-de-sac nasal supérieur et inférieur. Au fond de l'OD, il n'y a pas encore de signe d'une rétinopathie actinique secondaire.».</w:t>
      </w:r>
    </w:p>
    <w:p>
      <w:r>
        <w:t>8.2     Der Vertreter der Beschwerdeführerin hat am 7. April 2021 eine Kostennote eingereicht (A.S. 38 ff.), worin er einen Kostenersatz von insgesamt CHF 3'329.65 (12,39 Stunden à CHF 240.00 zuzüglich Auslagen von CHF 118.00 und Mehrwertsteuer von CHF 238.05) geltend macht.</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von jeweils 0,17 Std. vom 26. Oktober 2020, 5. November 2020, 10. November 2020, 3. Dezember 2020, 15. Dezember 2020, 4. Januar 2021, 25. Januar 2021, 15. Februar 2021, 22. Februar 2021, 9. März 2021, 17. März 2021, 22. März 2021 und 6. April 2021 nicht berücksichtigt werden, da praxisgemäss von Orientierungskopien ausgegangen wird, welche reinen Kanzleiaufwand darstellen. Dies gilt auch für die unter dem Vermerk «Brief an O.___, Fürsprecher» von je 0,17 Std. vom 26. Oktober 2020 und 5. November 2020, «Brief an Versicherungsgericht des Kantons Solothurn» von je 0,33 Std. vom 11. Februar 2021 und 5. März 2021 angegebenen Positionen. Aufgrund des Ausgangs des vorliegenden Verfahrens ist der mit 1,00 Stunden geltend gemachte nachprozessuale Aufwand praxisgemäss auf 0,5 Stunden zu reduzieren. Nach Abzug von insgesamt 3,71 Stunden beträgt der Aufwand noch total 8,68 Stunden. Damit beträgt die Entschädigung bei einem Honoraransatz von CHF 240.00 CHF 2'083.20.</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1'000.00 wird der Beschwerdeführerin zurückerstattet.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4.2</w:t>
      </w:r>
    </w:p>
    <w:p>
      <w:r>
        <w:t>Unter Glaubhaftmachen im Sinne von Art. 87 Abs. 2 IVV ist nicht der Beweis nach dem im Sozialversicherungsrecht allgemein massgebenden Grad der überwiegenden Wahrscheinlichkeit zu verstehen. Die Beweisanforderungen sind vielmehr herabgesetzt. Es braucht nicht im Sinne eines vollen Beweises die Überzeugung der Verwaltung begründet zu werden, dass seit der letzten Verfügung, welche auf einer materiellen Prüfung des Rentenanspruchs mit rechtskonformer Sachverhaltsabklärung, Beweiswürdigung und Ermittlung des Invaliditätsgrades beruht, tatsächlich eine relevante Änderung eingetreten ist. Es genügt, dass für den geltend gemachten rechtserheblichen Sachumstand wenigstens gewisse Anhaltspunkte bestehen, auch wenn durchaus noch mit der Möglichkeit zu rechnen ist, bei eingehender Abklärung im Rahmen der materiellen Behandlung der Neuanmeldung werde sich die behauptete Änderung nicht erstellen lassen (Urteil des Bundesgerichts 9C_732/2018 vom 4. März 2019 E. 4.2 mit Hinweisen).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 4.3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 Die Verwaltung hat in einem solchen Fall der versicherten Person unter Androhung des Nichteintretens eine angemessene Frist zur Einreichung weiterer Beweismittel anzusetzen (BGE 130 V 64 E. 5.2.5 S. 69;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der Versicherung geboten hat (BGE 130 V 64 E. 5 S. 66 f. und E. 5.2 S. 67 ff.; Urteil des Bundesgerichts 9C_799/2016 vom 21. März 2017 E. 2.1).</w:t>
      </w:r>
    </w:p>
    <w:p>
      <w:r>
        <w:rPr>
          <w:b/>
        </w:rPr>
        <w:t>E. 5</w:t>
      </w:r>
    </w:p>
    <w:p>
      <w:r>
        <w:t>Asymptomatische Hyperurikämie Weiter führten die E.___-Gutachter aus, in somatischer Hinsicht seien Fibromyalgie-Patienten nicht geeignet für stereotyp-repetitive Tätigkeiten, Tätigkeiten in Nässe und Kälte, körperliche Schwerarbeit sowie Tätigkeiten in prolongierter ergonomisch ungünstiger Körperstellung. Tätigkeiten, welche diesen Vorgaben Rechnung trügen, seien der Beschwerdeführerin prinzipiell zumutbar (IV-Nr. 151 S. 36 f.). Aus allgemeininternistischer Sicht seien der Beschwerdeführerin körperlich leichte bis maximal gelegentlich mittelschwer belastende Tätigkeiten ganztags vollumfänglich zumutbar. Einschränkend würden hier vor allem die multifaktoriell bedingte Anstrengungsdyspnoe sowie die erhebliche Dekonditionierung einhergehend mit deutlicher Adipositas wirken. Die arterielle Hypertonie sei gut eingestellt und die Beschwerdeführerin sei kardiopulmonal kompensiert. Aufgrund der nur leichten lungenfunktionellen Einschränkung bestehe weder medizinisch-theoretisch noch praktisch eine Ateminvalidität von pulmonaler Seite (IV-Nr. 151 S. 37). Generell seien bei Patienten mit hypertensiver Herzkrankheit solche Tätigkeiten zu berücksichtigen, die zu abrupten Blutdrucksteigerungen führten wie zum Beispiel plötzliche Anstrengungen wie schweres Heben, aber auch stark emotionale Belastungen. Bereits bestehende Organkomplikationen könnten in bestimmten Berufen zu einer erhöhten Gefährdung für den Betreffenden und seine Umwelt führen. Dies sei hier jedoch nicht der Fall. Auch der Schicht-, beziehungsweise Nachtdienst könne für Hypertoniker und Versicherte mit hypertensiver Herzkrankheit ungünstig sein. Je nach Krankheitsverlauf und Krankheitsstadium könne die Belastbarkeit individuell jedoch sehr unterschiedlich sein. Die epigastrischen Beschwerden sowie die stattgehabten Harnwegsinfekte hätten keine Auswirkung auf die Arbeitsfähigkeit. Betreffend das Asthma seien Tätigkeiten in staubfreier Umgebung zu empfehlen (IV-Nr. 151 S. 37). Aus angiologischer Sicht könne der Beschwerdeführerin keine Arbeitsunfähigkeit attestiert werden. Sie sei mit ihrem Phleblymphlipödem leidensadaptiert mit wechselnden Körperpositionen (Laufen, Sitzen, Stehen) aus angiologischer Sicht arbeitsfähig (IV-Nr. 151 S. 37). Aus psychiatrischer Sicht lasse sich keine andauernde Leistungseinschränkung begründen (IV-Nr. 151 S. 37).</w:t>
      </w:r>
    </w:p>
    <w:p>
      <w:r>
        <w:rPr>
          <w:b/>
        </w:rPr>
        <w:t>E. 5.2</w:t>
      </w:r>
    </w:p>
    <w:p>
      <w:r>
        <w:t>Im Zeitpunkt der angefochtenen Verfügung vom 18. September 2020 präsentierte sich der medizinische Sachverhalt im Wesentlichen wie folgt: 5.2.1  Am</w:t>
      </w:r>
    </w:p>
    <w:p>
      <w:r>
        <w:rPr>
          <w:b/>
        </w:rPr>
        <w:t>E. 5.2.3</w:t>
      </w:r>
    </w:p>
    <w:p>
      <w:r>
        <w:t>Am 22. Januar 2020 berichtete Dr. med. J.___ über die im Rahmen der Nachkontrolle erhobenen Befunde (IV-Nr. 241 S. 3). Folgendes lässt sich diesem Bericht entnehmen: «Le 22 janvier 2020, le Docteur Pica et moi-même avons revu en contrôle Madame A.___, presque 4 mois après sa protonthérapie complémentaire (Optis 2 : 60Gy en 4 fractions) après exérèse chirurgicale sur place, suivi d'un mapping conjonctival à Lausanne, pour une exérèse incomplète d’un carcinome épidermoïde de la caroncule de l’OD (œil fonctionnellement unique). L'acuité visuelle est conservée à 1.0p contre l'énumération des doigts dans l'œil controlatéral gauche, en rélation avec une amblyopie myopique unilatérale forte. Au niveau du cul-de-sac cornéo-conjonctival droit, il n'y a aucun signe d'une récidive clinique de son carcinome épidermoïde. Le segment antérieur était parfaitement calme avec une TO à 12 mmHg, symétrique sans aucun traitement topique autre que du Lacrycon la journée et de la Vitamine A pomm. la nuit. Un symblépharon discret est présent au niveau du cul-de-sac nasal supérieur et inférieur. Au fond de l'OD, il n'y a pas encore de signe d'une rétinopathie actinique secondaire.». 5.2.4  Dem Bericht der behandelnden Ärztin Dr. med. K.___, Spitalfachärztin, Spital B.___, vom 3. Februar 2020 (IV-Nr. 255 S. 15 f.) lassen sich folgende Diagnosen entnehmen: 1. Lipolymphödem der unteren Extremitäten Stadium 3 - Versagen der konservativen Therapie 2. Primäre Varikosis Stadium C1 Ep As Pr beidseits - St. n. Exhairese der V. saphena magna im Bereich des rechten Unterschenkels sowie Miniphlebektomie beider Unterschenkel 1999 3. Arterieller Hypertonus 4. Adipositas Grad II (BMI 36.1 kg/m 2 ) 5. Chronische Schmerzkrankheit mit psychischen und somatischen Anteilen, Symptomatik Allodynie, myalgieforme Schmerzen, betont lumbogluteal - Schmerzbeginn im Rücken 1999 (Fabrikarbeiterin) - Anamnestisch Diskushernien, bisher keine operative Intervention - Frozen Shoulder rechts 2016 - Fibromyalgie 6. Depression 7. Bindehauttumor rechts, cT4 N0 M0 - Bindehauttumorexzision, Amniondeckung R2 Resektion 1. April 2019 - Links Blindheit wegen angeborener Amblyopie Weiter führte Dr. med. K.___ aus, auf Wunsch der Kollegin der plastischen Chirurgie hätten sie die Beschwerdeführerin erneut gesehen. Bereits im Jahr 2012 sei ein Lipödem diagnostiziert und die Indikation zur Liposuktion gestellt worden, da die konservative Therapie versagt habe. Zu einem späteren Zeitpunkt sei noch eine Mikrolymphographie durchgeführt worden. Hierbei habe noch eine Lymphödemkomponente nachgewiesen werden können. Dr. med. K.___ habe die Beschwerdeführerin letztmalig im Juni 2018 gesehen. Aktuell zeige sich klinisch weiterhin das Korrelat eines Lipödems Stadium 3 vom Ganzbeintyp mit ausgeprägter Umfangsvermehrung und überhängenden Gewebeanteilen (Wammenbildung). Anamnestisch zeigten die Beine seit der zweiten und letzten Schwangerschaft vor 25 Jahren kein Volumenplus. Durch die Strukturveränderung im Bereich der unteren Extremitäten sei bereits das Gangbild deutlich gestört. Die Kompressionstherapie könne aufgrund der extremen Schmerzhaftigkeit im Bereich der unteren Extremitäten nicht durchgeführt werden. Auch im Rahmen der aktuellen Untersuchung könne eine Kompression, wie sie für die Venenuntersuchung notwendig sei, kaum durchgeführt werden aufgrund der extremen Schmerzhaftigkeit. Auf venöser Seite zeige sich ein analoger Befund zu 2018 mit Nachweis eines offenen und suffizienten tiefen Venensystems sowie einer suffizienten V. saphena magna und parva links. Rechts sei die V. saphena parva ebenfalls offen und suffizient. Die V. saphena magna sei am Unterschenkel chirurgisch entfernt worden. Klinische Zeichen einer chronisch venösen Insuffizienz lägen klinisch nicht vor. Neben dem Aspekt des Lipödems zeige sich das Stemmerzeichen rechts positiv und links schwach positiv als Zeichen einer zum Lipödem zusätzlich hinzukommenden lymphatischen Komponente. Bereits 2013 sei mittels Mikrolymphographie ein Lymphödem im Bereich beider unteren Extremitäten objektiviert worden. Im Ultraschall zeige sich eine homogene Verbreiterung der Subkutis mit gleichmässig vermehrter Echogenität und echoreichen Septen bei Fehlen von echolosen Spalten passend zum Lipödem. Im Hinblick auf die starke Schmerzhaftigkeit und das Schweregefühl sowie die bereits bestehende Störung des Gangbildes werde von angiologischer Seite, wie bereits 2012, die Liposuktion empfohlen. Dies auch vor dem Hintergrund, dass eine konservative Therapie aufgrund der Schmerzhaftigkeit nicht durchgeführt werden könne und der Tatsache, dass die Beschwerdeführerin bereits durch die bekannte Depression eine deutliche Einschränkung der Lebensqualität habe, welche durch das komplexe Lipolymphödem noch zusätzlich aggraviert werde. 5.2.5  Am 1. Juli 2020 erging die versicherungspsychiatrisch-arbeitsprognostische Abklärung der behandelnden Psychiaterin Dr. med. I.___, Fachärztin für Psychiatrie und Psychotherapie (IV-Nr. 255 S. 6 ff.). Folgende Diagnosen lassen sich diesem Bericht entnehmen (IV-Nr. 255 S. 11): 1. Depressive Störung, gegenwärtig mittelgradige Episode mit somatischem Syndrom (ICD-10 F33.2) 2. Chronifizierte Schmerzproblematik mit zum Teil konversionsneurotischer dissoziativer Symptombildung, am ehesten im Sinn einer posttraumatischen Entwicklung – akuten Belastungsreaktion (ICD-10 F43.1) Weiter legte Dr. med. I.___ dar, das aktuelle Beschwerdebild der Beschwerdeführerin entspreche einer schwergradigen (ängstlich-depressiven, posttraumatisch verschlechterten) psychischen Beeinträchtigung mit psychiatrischer Co-Morbidität. Die Einschränkung der Funktionalität im Alltag und vor allem der Lebensqualität sei deutlich. Medizinisch-theoretisch müsse bei vorangeschrittener Chronifizierung, innerpsychischer Verfestigung und psychodynamisch relevanter Kontextfaktoren von einer höhergradigen Arbeitsunfähigkeit ausgegangen werden. Die für die Bemessung von Arbeitsfähigkeitsprozenten nach versicherungsmedizinischen Kriterien geforderte klinisch-objektive Schweregradbeurteilung rechtfertige medizinisch-theoretisch eine mindestens 80%ige Arbeitsunfähigkeit. Aus psychiatrischer Sicht sei die Beschwerdeführerin zum Zeitpunkt der Untersuchung aufgrund der schwergradigen psychiatrischen Symptomatik im Rahmen der genannten Diagnosen sowohl in ihrer angestammten als auch in einer adaptierten Tätigkeit zu mindestens 80 % arbeitsunfähig. Die Beschwerdeführerin könne auf dem freien Arbeitsmarkt nicht zurechtkommen. Sämtliche Massnahmen müssten einen therapeutischen Zweck erfüllen. Eine Unterstützung zur Reintegration im Sinne eines allmählichen Wiedereinstiegs in eine Funktions- und Arbeitstätigkeit erscheine aktuell wenig sinnvoll. Therapeutische Massnahmen zur Strukturierung und Wiederherstellung einer Tagesstruktur seien sinnvoll und indiziert. 5.2.6  Am 9. September 2020 nahm Dr. med. F.___ Stellung zur Frage, ob mit dem aktuellen Bericht der Psychiaterin Dr. med. I.___ vom 1. Juli 2020 im Vergleich zum E.___-Gutachten vom 20. Oktober 2016 eine Verschlechterung des Gesundheitszustandes der Beschwerdeführerin ausgewiesen ist (IV-Nr. 259). Dr. med. F.___ legte dar, bezüglich der unbestrittenen depressiven Erkrankung sei festzuhalten, dass das Ausmass der depressiven Symptomatik im Vergleich der Untersuchungsbefunde, soweit es möglich sei, in etwa gleichgeblieben sei. So kämen denn auch beide beurteilenden Fachpersonen zur gleichen Diagnose einer mittelgradigen Episode, wobei Dr. med. I.___ diese allerdings gegeben sehe im Rahmen einer rezidivierenden depressiven Störung. Diese sei mit F33 zu codieren, und nicht mit F32 wie die einmalige depressive Episode. Bei einer rezidivierenden depressiven Störung könne im längeren Verlauf durchaus eine höhere Funktionseinschränkung resultieren als im Rahmen einer einmaligen depressiven Episode. Dr. med. I.___ liefere aber keine Begründung für ihre abweichende Diagnostik. Auch seien die psychopathologischen Befunde in beiden Gutachten weitgehend die gleichen. Die Schmerzproblematik werde in beiden Gutachten berücksichtigt. Unterschiedlich seien lediglich die hinter den differierenden Diagnosen stehenden ätiopathogenetischen Konzepte. Für die Annahme einer posttraumatischen Belastungsstörung als Hintergrund der Schmerz-, aber auch der Angstproblematik, wie von Dr. med. I.___ postuliert werde, fehlten die gemäss der ICD-10, aber auch des DSM-V zu fordernden diagnostischen Kriterien. Die Angstproblematik werde zudem vom E.___-Gutachter Dr. med. L.___ ebenfalls berücksichtigt, jedoch sei die diagnostische Einordnung als Agoraphobie ohne Panikattacken (ICD-10 F40.0) klar überzeugender. Als Fazit bleibe dem RAD festzuhalten, dass eine gesundheitliche Verschlechterung seit Oktober 2017 zwar nicht ganz ausgeschlossen werden könne in Anbetracht der nicht klar vergleichbaren Befunderhebung, dass sie aber eher wenig wahrscheinlich sei, zumal es sich insgesamt um einen sehr langen, stabil wirkenden Krankheitsverlauf handle. 6.       Wie bereits in E. II. 5 hiervor dargelegt, ist zu prüfen, ob die Beschwerdeführerin eine anspruchserhebliche Verschlechterung ihres Gesundheitszustandes glaubhaft gemacht hat und die Beschwerdegegnerin daher auf das Rentengesuch vom 8. Mai 2019 hätte eintreten müssen. Ob eine in diesem Sinn erhebliche Veränderung glaubhaft gemacht wurde, beurteilt sich durch einen Vergleich mit dem Sachverhalt bei Erlass der Verfügung vom 6. Januar 2014. 6.1     In erster Linie ist festzuhalten, dass der Einbezug eines RAD-Arztes – entgegen der Beschwerdeführerin (vgl. Beschwerde Ziff. 13 S. 10 f.; A.S. 12 f.) – nicht per se ein materielles Eintreten darstellt. So ist es der Verwaltung unbenommen, entsprechende Erhebungen selber anzustellen, ohne dass deswegen bereits auf ein materielles Eintreten auf die Neuanmeldung zu schliessen wäre (vgl. Urteil des Bundesgerichts 8C_844/2012 vom 5. Juni 2013 E. 2.1 mit Hinweis auf 8C_341/2011 vom 27. Juni 2011 E. 2.2.2, 8C_1009/2010 vom 7. April 2011 E. 2.3, 9C_286/2009 vom 28. Mai 2009 E. 2.2.3, in: SZS 2009 S. 397; I 781/04 vom 17. Februar 2005 E. 3). Die Beschwerdegegnerin hat keine neuen Erhebungen veranlasst, sondern den RAD-Arzt lediglich zu den eingereichten Akten und zur Frage, ob damit eine gesundheitliche Verschlechterung glaubhaft sei, Stellung nehmen lassen. Dr. med. F.___ würdigt in seiner Stellungnahme wie erwähnt die von der Beschwerdeführerin im Rahmen der Neuanmeldung eingereichten medizinischen Unterlagen hinsichtlich der Frage, ob damit eine relevante gesundheitliche Verschlechterung glaubhaft gemacht wird. Dass eine solche Würdigung nicht gänzlich ohne materielle Ausführungen möglich ist, liegt in der Natur der Sache. Es kann aber nicht gesagt werden, Dr. med. F.___ habe darin bereits den Sachverhalt materiell geprüft. 6.2 Für die Beurteilung des psychischen Gesundheitszustandes zum Zeitpunkt der Verfügung vom 18. September 2020 wurde auf die Stellungnahme des RAD-Arztes Dr. med. F.___ vom 9. September 2020 (IV-Nr. 259) abgestellt, welcher sich in seiner Beurteilung auf die Akten stützte. Der RAD-Arzt stellte darin fest, dass eine gesundheitliche Verschlechterung seit Oktober 2017 in Anbetracht der nicht klar vergleichbaren Befunderhebung zwar nicht ausgeschlossen werden könne, dass sie aber eher wenig wahrscheinlich sei, zumal es sich insgesamt um einen sehr langen, stabil wirkenden Krankheitsverlauf handle. Den im Neuanmeldungsverfahren aufgelegten Berichten lässt sich in psychiatrischer Hinsicht nichts entnehmen, was nicht bereits seit Längerem aktenkundig ist oder eine andauernde Veränderung des Gesundheitszustandes begründen könnte. Bereits im Januar 2014 hatte Dr. med. M.___, Facharzt für Psychiatrie und Psychotherapie, in seinem versicherungspsychiatrischen Gutachten vom 27. Januar 2014 (IV-Nr. 101.1) die Diagnose einer rezidivierenden depressiven Störung, gegenwärtig mittelgradige Episode, als solche mit Auswirkung auf die Arbeitsfähigkeit gestellt (IV-Nr. 101.1 S. 19). Wie der RAD-Arzt Dr. med. F.___ in seiner Stellungnahme vom 9. September 2020 (vgl. E. II. 5.2.6 hiervor; IV-Nr. 259) festgehalten hat, entsprechen die von Dr. med. I.___ erhobenen Befunde in ihrer versicherungspsychiatrisch-arbeitsprognostischen Abklärung vom 1. Juli 2020 (IV-Nr. 255) sodann weitgehend jenen, die im psychiatrischen Teilgutachten der Begutachtungsstelle E.___ vom 28. September 2016 benannt wurden (IV-Nr. 151 S. 60 ff.). Im psychiatrischen E.___-Teilgutachten wurde festgehalten, es handle sich bei der Beschwerdeführerin um eine zum Untersuchungszeitpunkt bewusstseinsklare und allseits orientierte Explorandin. Biologisch wirke sie vorzeitig gealtert. Während der fast 3-stündigen Untersuchung mache sie einen mehr depressiven als schmerzerfüllt leidenden Eindruck. Die Psychomotorik sei depressiv gehemmt. Während der Untersuchung fänden sich keine Anhaltspunkte für kognitive Beeinträchtigungen wie Wortfindungsstörungen, Gedankenabbrechen oder Zeitgitterstörungen. Formal sei das Denken der Beschwerdeführerin unauffällig. Es bestehe keine Denkverlangsamung. Das Denken sei umständlich. Es bestünden keine Anhaltspunkte für Sinnestäuschungen oder Wahrnehmungsstörungen. Die Auffassung der Beschwerdeführerin sei nicht gestört. Sie vermöge Begriffe nach logischen Kategorien zu ordnen. Es seien keine Anhaltspunkte für Zwangsgedanken oder Zwangshandlungen vorhanden. Die Beschwerdeführerin meide Menschenansammlungen nicht. Das Einkaufen in Einkaufszentren sei in Begleitung möglich. Die Exploration ergebe, dass die Beschwerdeführerin nur in Ausnahmefällen unbegleitet die Wohnung verlasse. Dies sei der Fall, wenn der Zielort in kurzer Gehdistanz vom Wohnort liege. Sie verfüge über eine durchschnittliche Intelligenz. Die affektive Schwingungs- und Resonanzfähigkeit seien beeinträchtigt. Die Beschwerdeführerin mache einen durchgehend depressiven Eindruck mit wenig Mimik im Gesicht. Von freudigen Ereignissen sei bei ihr keine Freude spürbar, sondern ein leichter Glanz in den Augen beobachtbar. Die Anstrengungsbereitschaft der Beschwerdeführerin sei gut. Sie sei bemüht, die anstrengende Untersuchung durchzustehen. Die Grundstimmung sei depressiv (IV-Nr. 151 S. 70). Dr. med. I.___ erhob in ihrer versicherungspsychiatrisch-arbeitsprognostischen Abklärung vom 1. Juli 2020 die folgenden – weitgehend identischen – Befunde: Die Beschwerdeführerin wirke angespannt und belastet, die affektive Schwingungsfähigkeit sei deutlich eingeschränkt, es bestehe klinisch-phänomenologisch Hypomimie, mittelgradig depressiv gezeichnet. Im Untersuchungsgang sei die Beschwerdeführerin ängstlich, zunächst fast misstrauisch, sichtlich um Kontrolle bemüht, äusserlich ruhig, innerlich gespannt, jedoch in der Gesprächssituation freundlich zugewandt, kooperativ, wach, allseits orientiert. Psychomotorisch sei sie etwas verlangsamt, zeige ein unauffälliges Sprechverhalten. Die Grundstimmung sei bedrückt, deutlich zum depressiven Pol verschoben. Der Gesprächsfluss werde zum Teil bei komplexeren Themen und Zusammenhängen durch eine eingeschränkte Auffassung bei muttersprachlichem Zugang gebremst. Es bestünden deutliche Einschränkungen der affektiven Modulationsfähigkeit. Im Zusammenhang mit lebensbiografisch relevanten Fragen in Bezug auf das Erleben der medizinischen Untersuchungen in der vergangenen Zeit (circa sechs bis neun Monate) werde die Situation kryptisch, zum Teil inkohärent mit Zunahme des Spannungszustandes geschildert. Es lägen keine Hinweise für wahnhaftes Geschehen, Sinnestäuschungen oder Ich-Demarkationspathologien vor. Das Denken sei formal kohärent, verlangsamt, in der letzten Zeit mit vermehrter Grübelneigung. Es seien keine Anhaltspunkte für formale Denkstörungen zu verzeichnen. Das Denken in Bezug auf rationales Funktionieren sei vordergründig unauffällig. Die Beschwerdeführerin sei bei komplexen Fragestellungen überfordert (IV-Nr. 255 S. 7). Soweit die Beschwerdeführerin unter Berufung auf ihren Aufenthalt in der Klinik G.___ (vgl. E. II. 5.2.1 hiervor) eine Verschlechterung glaubhaft machen will, vermag sie nicht durchzudringen. Auch der in diesem Bericht festgehaltene psychiatrische Befund entspricht weitgehend bereits Bekanntem. Es kommt hinzu, dass die Beschwerdeführerin den Ärzten zufolge in deutlich gebessertem psychischen und stabilen physischen Zustand, klar und deutlich von Eigen- und Fremdgefährdung sowie von Suizidalität distanziert, aus der Klinik habe austreten können. Damit fehlt es an Anhaltspunkten für eine langandauernde, relevante Verschlechterung des Gesundheitszustandes in psychiatrischer Hinsicht, was der RAD-Arzt Dr. med. F.___ richtig erkannt hat (vgl. E. II. 5.2.6 hiervor). Auch die Schmerzproblematik, die Dr. med. I.___ in ihrem Bericht darlegt (vgl. IV-Nr. 255 S. 8 ff.), war schon im Zeitpunkt der rentenaufhebenden Verfügung vom 6. Januar 2014 aktenkundig (vgl. hierzu das Gutachten der Begutachtungsstelle E.___ vom 21. Oktober 2016; IV-Nr. 151 S. 26 ff.). Im Übrigen ist darauf hinzuweisen, dass der Bericht von Dr. med. I.___ Mängel aufweist. So wird die Explorandin hin und wieder mit Frau N.___ bezeichnet, bei welcher es sich zweifelsohne nicht um die Beschwerdeführerin handelt (vgl. IV-Nr. 255 S. 8 und 10). 6.3       Eingehend auf die somatische Gesundheitssituation der Beschwerdeführerin ergibt sich Folgendes: 6.3.1    Von angiologischer Seite wurden im E.___-Gutachten vom 21. Oktober 2016 unter anderem die Diagnosen «eines Phleblymphipödems an beiden Beinen bei chronischer venöser Insuffizienz Stadium I-II mit Besenreisern und retikulären Varizen beidseits sowie Nebenastvarizen rechts, Status nach Varizenoperation beidseits 1999; Lipomatose der Ober- und Unterschenkel beidseits, Adipositas; primärem Lymphödem und verminderter Aktivierung der Muskel- und Gelenkspumpe» gestellt (vgl. E. II. 5.1 hiervor). Weiter wurde im angiologischen Teilgutachten dargelegt, eine relevante chronisch venöse Insuffizienz oder eine periphere arterielle Verschlusskrankheit lasse sich an beiden Beinen nicht nachweisen. Die aktuell von der Beschwerdeführerin geschilderten Schmerzen liessen sich mit dem klinisch doch eher moderaten Lipoedem per se nicht erklären. Lipoedemschmerzen seien nicht dermassen intensiv, wie von der Beschwerdeführerin geschildert. Die von der Beschwerdeführerin angegebenen sehr intensiven Beinbeschwerden liessen sich somit mit dem vorliegenden Phleblymphlipoedem nicht erklären. Auch die Beinschmerzen dürften im Zusammenhang mit dem generalisierten Schmerzsyndrom stehen (IV-Nr. 151 S. 58). Dem im Neuanmeldungsverfahren eingereichten Bericht der behandelnden Ärztin Dr. med. K.___ vom 3. Februar 2020 (vgl. E. II. 5.2.4 hiervor) lässt sich entnehmen, dass sich aktuell klinisch weiterhin das Korrelat eines Lipödems Stadium 3 vom Ganzbeintyp mit ausgeprägter Umfangsvermehrung und überhängenden Gewebeanteilen (Wammenbildung) zeige. Durch die Strukturveränderung im Bereich der unteren Extremitäten sei bereits das Gangbild deutlich gestört. Die Kompressionstherapie könne aufgrund der extremen Schmerzhaftigkeit im Bereich der unteren Extremitäten nicht durchgeführt werden. Auf venöser Seite zeige sich ein analoger Befund zu 2018 mit Nachweis eines offenen und suffizienten tiefen Venensystems sowie einer suffizienten V. saphena magna und parva links. Rechts sei die V. saphena parva ebenfalls offen und suffizient. Die V. saphena magna sei am Unterschenkel chirurgisch entfernt. Klinische Zeichen einer chronisch venösen Insuffizienz lägen klinisch nicht vor. Neben dem Aspekt des Lipödems zeige sich das Stemmerzeichen rechts positiv und links schwach positiv als Zeichen einer zum Lipödem zusätzlich hinzukommende lymphatische Komponente. Bereits 2013 sei mittels Mikrolymhographie ein Lymphödem im Bereich beider unteren Extremitäten objektiviert worden. Im Ultraschall zeige sich eine homogene Verbreiterung der Subkutis mit gleichmässiger vermehrter Echogenität und echoreichen Septen bei Fehlen von echolosen Spalten passend zum Lipödem. Mit diesem Bericht der behandelnden Ärztin Dr. med. K.___ liegen gewisse Anhaltspunkte für eine mögliche relevante Verschlechterung des Gesundheitszustandes der Beschwerdeführerin vor, was rechtsprechungsgemäss für eine Glaubhaftmachung einer rechtserheblichen Veränderung genügt (vgl. E. II. 4.2 hiervor). So berichtet Dr. med. K.___ neu von einem Lipödem Stadium 3 vom Ganzbeintyp mit ausgeprägter Umfangsvermehrung und überhängenden Gewebeanteilen (Wammenbildung) . Auch berichtet sie von einem deutlich gestörten Gangbild. Auch wenn der Bericht der konsultierten Ärztin keine Angaben zur Arbeitsfähigkeit enthält, kann jedenfalls nicht ausgeschlossen werden, dass sich die Problematik im Sinne einer Verschlechterung zusätzlich limitierend auf die Arbeitsfähigkeit auswirkt. Zu einer allfälligen Veränderung des Gesundheitszustandes der Beschwerdeführerin aus angiologischer Sicht äusserte sich die Beschwerdegegnerin in ihrer angefochtenen Verfügung vom 18. September 2020 nicht. 6.3.2  Sodann wurde mit der Diagnose eines Tumors der Konjunktiva (vgl. E. II. 5.2.2 und 5.2.3 hiervor) eine Erkrankung dargetan, welche seit der rentenaufhebenden Verfügung vom 6. Januar 2014 neu hinzugetreten ist. Nicht auszuschliessen ist, dass sich diese im Sinne einer Verschlechterung auf die Arbeitsfähigkeit auswirkt. Aus dem Bericht des Spitals B.___ vom 2. April 2019 (vgl. E. II. 5.2.2. hiervor), lässt sich nicht ohne Weiteres auf eine volle Arbeitsfähigkeit schliessen. Vielmehr hält der Bericht lediglich fest, dass sich der intra- und postoperative Verlauf der Bindehauttumor-Exzision komplikationslos gestaltet habe, sodass die Beschwerdeführerin nach Hause habe entlassen werden können. Dies ist nicht gleichzusetzen mit dem Fehlen einer Arbeitsunfähigkeit, zumal nicht auszuschliessen ist, dass die Ärzte keine Veranlassung hatten, bei einer arbeitslosen Patientin die Arbeitsunfähigkeit zu beurteilen. Dasselbe gilt auch für den Bericht von Dr. med. J.___ vom 22. Januar 2020 (vgl. E. II. 5.2.3 hiervor). Diesem Bericht lässt sich sodann entnehmen, dass im Rahmen der Nachkontrolle zwar kein Rückfall des Tumors habe festgestellt werden können, aber es sei ein Symblepharon zu erkennen. Somit liegen auch in ophthalmologischer Hinsicht gewisse Anhaltspunkte für eine mögliche relevante Verschlechterung des Gesundheitszustandes der Beschwerdeführerin vor. 7.       Nach dem Dargelegten wurde eine revisionsrechtlich relevante Änderung bzw. Verschlechterung des Gesundheitszustands der Beschwerdeführerin seit der rentenaufhebenden Verfügung vom 6. Januar 2014 glaubhaft gemacht. Die Beschwerdegegnerin hätte daher auf das Revisionsgesuch vom 8. Mai 2019 (IV-Nr. 235) eintreten und abklären müssen, ob nach dem Beweisgrad der überwiegenden Wahrscheinlichkeit tatsächlich eine gesundheitliche Verschlechterung von voraussichtlich längerer Dauer eingetreten war, welche sich auf die Arbeits- und Erwerbsfähigkeit der Beschwerdeführerin auswirkt. Demnach ist die Beschwerde gutzuheissen und die angefochtene Verfügung vom 18. September 2020 aufzuheben. Die Sache ist an die Beschwerdegegnerin zurückzuweisen, damit sie auf die Neuanmeldung der Beschwerdeführerin eintrete und deren Leistungsanspruch materiell prüfe. Auf die beantragte öffentliche Verhandlung vor dem Versicherungsgericht kann bei diesem Verfahrensausgang verzichtet werden. 8. 8.1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Lasten der Beschwerdegegnerin zu. 8.2     Der Vertreter der Beschwerdeführerin hat am 7. April 2021 eine Kostennote eingereicht (A.S. 38 ff.), worin er einen Kostenersatz von insgesamt CHF 3'329.65 (12,39 Stunden à CHF 240.00 zuzüglich Auslagen von CHF 118.00 und Mehrwertsteuer von CHF 238.05) geltend macht. 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von jeweils 0,17 Std. vom 26. Oktober 2020, 5. November 2020, 10. November 2020, 3. Dezember 2020, 15. Dezember 2020, 4. Januar 2021, 25. Januar 2021, 15. Februar 2021, 22. Februar 2021, 9. März 2021, 17. März 2021, 22. März 2021 und 6. April 2021 nicht berücksichtigt werden, da praxisgemäss von Orientierungskopien ausgegangen wird, welche reinen Kanzleiaufwand darstellen. Dies gilt auch für die unter dem Vermerk «Brief an O.___, Fürsprecher» von je 0,17 Std. vom 26. Oktober 2020 und 5. November 2020, «Brief an Versicherungsgericht des Kantons Solothurn» von je 0,33 Std. vom 11. Februar 2021 und 5. März 2021 angegebenen Positionen. Aufgrund des Ausgangs des vorliegenden Verfahrens ist der mit 1,00 Stunden geltend gemachte nachprozessuale Aufwand praxisgemäss auf 0,5 Stunden zu reduzieren. Nach Abzug von insgesamt 3,71 Stunden beträgt der Aufwand noch total 8,68 Stunden. Damit beträgt die Entschädigung bei einem Honoraransatz von CHF 240.00 CHF 2'083.20. Was die Auslagen von CHF 118.00 anbelangt, so sind die insgesamt 75 Kopien pro Stück nur mit CHF 0.50 zu vergüten (§ 160 Abs. 5 Gebührentarif [GT, BGS 615.11]) und nicht mit CHF 1.00, wie in der Kostennote geltend gemacht. Die Auslagen reduzieren sich so um CHF 37.50 auf CHF 80.50. Somit beläuft sich die Parteientschädigung unter Einbezug der MwSt von 7,7 % auf total CHF 2'330.30 (CHF 2'083.20 + CHF 80.50 + 7,7 %). Diese ist durch die Beschwerdegegnerin zu bezahlen.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1'000.00 wird der Beschwerdeführerin zurückerstattet.</w:t>
      </w:r>
    </w:p>
    <w:p>
      <w:r>
        <w:rPr>
          <w:b/>
        </w:rPr>
        <w:t>E. 10</w:t>
      </w:r>
    </w:p>
    <w:p>
      <w:r>
        <w:t>Oktober 2018 erging der Kurzaustrittsbericht der Klinik G.___ (IV-Nr. 219 S. 2 f.). Diesem Bericht lässt sich entnehmen, dass die Beschwerdeführerin in der Zeit vom 21. August bis 10. Oktober 2018 hospitalisiert war. Folgenden Diagnosen wurden gestellt: Rezidivierende depressive Störung, gegenwärtig mittelgradige Episode (ICD-10 F33.1) Benigne essentielle Hypertonie: Mit Angabe einer hypertensiven Krise Lumbale und sonstige Bandscheibenschäden mit Radikulopathie (ICD-10 M51.1) Venöse Insuffizienz (chronisch) (peripher) ohne Ulzeration Die Beschwerdeführerin habe in deutlich gebessertem psychischen und stabilen physischen Zustand, klar und deutlich von Eigen- und Fremdgefährdung sowie von Suizidalität distanziert, am 10. Oktober 2018 aus der Klinik austreten können. Sie werde in ihre vorbestehenden Wohnverhältnisse austreten. Die somatische Nachbehandlung finde, wie vor Klinikeintritt, bei Herrn Dr. H.___ statt. Zuhause werde die Beschwerdeführerin durch die Spitex wöchentlich unterstützt. Die psychiatrisch-psychotherapeutische Nachbehandlung erfolge wie vor Klinikeintritt bei Frau Dr. med. I.___. 5.2.2  Dem Bericht des Spitals B.___ vom 2. April 2019 (IV-Nr. 232 S. 2 f.) lässt sich entnehmen, dass sich die Beschwerdeführerin einer Operation (Bindehauttumor-Exzision) unterzogen hat. Folgende Diagnosen wurden gestellt: Tumor der Konjunktiva [C69.0]: V.a. Plattenepithelkarzinom - Bindehautbiopsie 29. Januar 2019 (extern, wenig Material): unauffällig - Chlamydienabstrich 18. Februar 2019: negativ - MRI Orbita 26. März 2019: keine intrakonale Ausdehnung, unklare Noduli medial des M. rectus medialis und lateral des M. rectus lateralis Amblyopie [H53.0] Lymphödem Diabetes Mellitus Typ 2 Der intra- und postoperative Verlauf habe sich komplikationslos gestaltet, so dass die Beschwerdeführerin bei oben genannten Befunden nach Hause habe entlassen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