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VSBES.2019.233 vom 29. Juni 2020</w:t>
      </w:r>
    </w:p>
    <w:p>
      <w:r>
        <w:t>SO Obergericht, 2020-06-29, DE</w:t>
      </w:r>
    </w:p>
    <w:p>
      <w:r>
        <w:rPr>
          <w:b/>
        </w:rPr>
        <w:t xml:space="preserve">Quelle: </w:t>
      </w:r>
      <w:r>
        <w:t>https://mcp.opencaselaw.ch/entscheid/so_gerichte_VSBES.2019.233_d20200629</w:t>
      </w:r>
    </w:p>
    <w:p>
      <w:r>
        <w:t>FR: SO_GERICHTE VSBES.2019.233 du 29 juin 2020</w:t>
      </w:r>
    </w:p>
    <w:p>
      <w:r>
        <w:t>IT: SO_GERICHTE VSBES.2019.233 del 29 giugno 2020</w:t>
      </w:r>
    </w:p>
    <w:p>
      <w:pPr>
        <w:pStyle w:val="Heading2"/>
      </w:pPr>
      <w:r>
        <w:t>Regeste</w:t>
      </w:r>
    </w:p>
    <w:p>
      <w:r>
        <w:t>Invalidenrente und berufliche Massnahmen</w:t>
      </w:r>
    </w:p>
    <w:p>
      <w:pPr>
        <w:pStyle w:val="Heading2"/>
      </w:pPr>
      <w:r>
        <w:t>Erwägungen</w:t>
      </w:r>
    </w:p>
    <w:p>
      <w:r>
        <w:rPr>
          <w:b/>
        </w:rPr>
        <w:t>E. 7</w:t>
      </w:r>
    </w:p>
    <w:p>
      <w:r>
        <w:t>7.1     Gemäss BGE 137 V 210 E. 4.4.1.4 hat die Beschwerdeinstanz bei ungenügenden medizinischen Abklärungen im Regelfall ein Gerichtsgutachten einzuholen. Eine Rückweisung an den Versicherungsträger ist zulässig, wenn sie allein in der notwendigen Erhebung einer bisher vollständig ungeklärten Frage begründet liegt oder wenn lediglich eine Klarstellung, Präzisierung oder Ergänzung von gutachtlichen Ausführungen erforderlich ist.</w:t>
      </w:r>
    </w:p>
    <w:p>
      <w:r>
        <w:t>7.2     Wie soeben in Erwägung 6.2 dargelegt, ist die medizinische Situation nicht beweiskräftig abgeklärt. Die Frage der Arbeitsfähigkeit lässt sich aufgrund der Stellungnahmen des RAD nicht zuverlässig beurteilen. Gleiches gilt für die medizinischen Einschätzungen der behandelnden Ärzte. Der behandelnde Neurochirurg äussert sich weder im Bericht vom 20. Juli 2018 noch in den Ärztlichen Zeugnissen aus dem Jahr 2019 zur Frage der Arbeitsfähigkeit in einer Verweistätigkeit. Der Hausarzt machte diesbezüglich zuletzt in einem zwei Jahre vor Verfügungserlass verfassten Bericht vom 21. August 2017 eine vage Angabe und attestierte dem Beschwerdeführer eine Arbeitsfähigkeit in einer angepassten Tätigkeit von circa 4.5  5 Stunden pro Tag. Aufgrund der im Zeitpunkt des Verfügungserlasses relativ veralteten sowie auch vagen Angabe und insbesondere auch aufgrund der Tatsache, dass die Diagnosen des fachfremden Hausarztes nicht mit jenen des behandelnden Neurochirurgen übereinstimmen, kann der hausärztlichen Beurteilung ebenfalls keine überzeugende Antwort in Bezug auf die Arbeitsfähigkeit entnommen werden. Daraus folgt, dass die Frage der Arbeitsfähigkeit aus medizinischer Sicht bisher nahezu vollständig ungeklärt blieb. Vor diesem Hintergrund rechtfertigt es sich vorliegend ausnahmsweise, die Angelegenheit zur medizinischen Abklärung der Arbeitsfähigkeit an die Beschwerdegegnerin zurückzuweisen. Diese hat nach den erfolgten Abklärungen neu über den Rentenanspruch des Beschwerdeführers zu befinden.</w:t>
      </w:r>
    </w:p>
    <w:p>
      <w:r>
        <w:t>8.       Somit ist die Beschwerde gutzuheissen. Bei diesem Verfahrensausgang (formelles Obsiegen) steht dem Beschwerdeführer eine ordentliche Parteientschädigung zu, die von der Beschwerdegegnerin zu bezahlen ist. In Anbetracht von Aufwand und Schwierigkeit des Prozesses ist die Parteientschädigung, wie in der Kostennote verlangt, auf CHF 3'261.05 festzusetzen (15.70 Stunden zum geltend gemachten Stundenansatz von CHF 180.00 zuzüglich Auslagen von CHF 201.90 und MwSt).</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Dem Beschwerdeführer ist der geleistete Kostenvorschuss in gleicher Höhe zurückzuerstatten.</w:t>
      </w:r>
    </w:p>
    <w:p>
      <w:r>
        <w:t>Demnach wirderkannt:</w:t>
      </w:r>
    </w:p>
    <w:p>
      <w:r>
        <w:t>1.In Gutheissung der Beschwerde wirddie Verfügungder IV-Stelle des Kantons Solothurn vom 29. August 2019 aufgehoben und die Sache an die IV-Stelle zurückgewiesen, damit sie im Sinne der Erwägungen verfährt und hierauf neu entscheidet.</w:t>
      </w:r>
    </w:p>
    <w:p>
      <w:r>
        <w:t>2.Die IV-Stelle des Kantons Solothurn hat dem Beschwerdeführer eine Parteientschädigung von CHF 3'261.05 (inkl. Auslagen und MwSt) zu bezahlen.</w:t>
      </w:r>
    </w:p>
    <w:p>
      <w:r>
        <w:t>3.Die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