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VSBES.2019.165 vom 17. Mai 2019</w:t>
      </w:r>
    </w:p>
    <w:p>
      <w:r>
        <w:t>SO Obergericht, 2019-05-17, DE</w:t>
      </w:r>
    </w:p>
    <w:p>
      <w:r>
        <w:rPr>
          <w:b/>
        </w:rPr>
        <w:t xml:space="preserve">Quelle: </w:t>
      </w:r>
      <w:r>
        <w:t>https://mcp.opencaselaw.ch/entscheid/so_gerichte_VSBES.2019.165</w:t>
      </w:r>
    </w:p>
    <w:p>
      <w:r>
        <w:t>FR: SO_GERICHTE VSBES.2019.165 du 17 mai 2019</w:t>
      </w:r>
    </w:p>
    <w:p>
      <w:r>
        <w:t>IT: SO_GERICHTE VSBES.2019.165 del 17 maggio 2019</w:t>
      </w:r>
    </w:p>
    <w:p>
      <w:pPr>
        <w:pStyle w:val="Heading2"/>
      </w:pPr>
      <w:r>
        <w:t>Erwägungen</w:t>
      </w:r>
    </w:p>
    <w:p>
      <w:r>
        <w:rPr>
          <w:b/>
        </w:rPr>
        <w:t>E. 1</w:t>
      </w:r>
    </w:p>
    <w:p>
      <w:r>
        <w:t>1.1     Im vorliegenden Fall ist die Bezahlung von ausstehenden Kostenbeteiligungen von CHF 44.50 sowie Krankenkassenprämien von CHF 962.25, CHF 240.00 für administrative Kosten sowie 5 % Verzugszins ab</w:t>
      </w:r>
    </w:p>
    <w:p>
      <w:r>
        <w:rPr>
          <w:b/>
        </w:rPr>
        <w:t>E. 1.2</w:t>
      </w:r>
    </w:p>
    <w:p>
      <w:r>
        <w:t>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 Diese Verfügung stellt einen definitiven Rechtsöffnungstitel dar. Erwächst sie in Rechtskraft, kann die Krankenkasse die Betreibung direkt fortsetzen (vgl. Urteil vom 20. Oktober 2003, 7B.213/2003) 2. Vorliegend ist im Wesentlichen zu prüfen, ob die Beschwerdeführerin der Beschwerdegegnerin die geltend gemachten Kostenbeteiligungen, Krankenversicherungsprämien inkl. Verzugszinse sowie administrative Kosten schuldet und somit dafür die definitive Rechtsöffnung zu erteilen ist. 3.       Vorab ist festzuhalten, dass weder die ausstehenden Kostenbeteiligungen von CHF 44.50 noch der ausstehende Prämienbetrag von CHF 962.25 hinsichtlich der Höhe bestritten werden und denn auch nicht zu beanstanden sind. So ergibt sich deren Höhe aus den von der Beschwerdegegnerin eingereichten Akten (P-Nr. 5 und 12). Insofern die Beschwerdeführerin sodann sinngemäss geltend macht, es bestünden auf ihrer Seite offene Guthaben gegenüber der Beschwerdegegnerin bzw. diese habe ihr die Spitalkosten zu vergüten, ist darauf nicht weiter einzugehen, da dies nicht Gegenstand des vorliegenden Verfahrens darstellt. Zudem kann die Beschwerdeführerin diese von ihr behaupteten Guthaben auch nicht gegen den Willen der Beschwerdegegnerin zur Verrechnung bringen. Weder dem Versicherer (Art. 105c KVV) noch der Versicherten (BGE 110 V 183 E. 2f. S. 185 ff.) steht im Falle ausstehender Prämien oder Kostenbeteiligungen ein Verrechnungsrecht zu. 4.       Sodann sind die von der Beschwerdegegnerin geforderten administrativen Kosten (Aufforderungskosten von CHF 120.00, Dossiereröffnungskosten von CHF 120.00; vgl. Einspracheentscheid S. 2) zu prüfen. 4.1     Bei Verzug der Zahlung von Prämien ist gemäss Art. 105b Abs. 2 KVV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3.1 der Versicherungsbestimmungen gemäss KVG (P-Nr. 2). 4.2     Bezüglich der Erhebung von Mahngebühren beim Verzug in der Zahlung von Prämien und Kostenbeteiligungen sind autonome Regelungen der Versicherer zulässig, sofern die versicherte Person die (unnötigen) Kosten schuldhaft verursacht hat und die Entschädigung angemessen ist (BGE 125 V 276 E. 2c/bb S. 277 mit Hinweisen). Mit anderen Worten steht die Höhe der im Zahlungsverzug einer obligatorisch versicherten Person zu erhebenden Kosten im Ermessen der Krankenversicherung, soweit sie sich an das Äquivalenzprinzip hält (vgl. EUGSTER, Krankenversicherung, in: Ulrich Meyer [Hrsg.], Schweizerisches Bundesverwaltungsrecht, 2015, Rz. 1348 f.). Das Äquivalenzprinzip verlangt, dass eine Gebühr nicht in einem offensichtlichen Missverhältnis zum fraglichen Ausstand stehen darf und sich in vernünftigen Grenzen halten muss (z.B. Urteil 2C_717/2015 vom 13. Dezember 2015 E. 7.1; vgl. auch Urteil 2A.621/2004 vom 3. November 2004 E. 2.2 [betreffend Radio- und Fernsehempfangsgebühren]). Die Mahngebühren von 4 x CHF 30.00 werden hinsichtlich ihrer Höhe durch den vorgenannten Bundesgerichtsentscheid gestützt und widersprechen nicht dem Äquivalenzprinzip. Demnach sind die Mahnkosten von CHF 120.00 in der beantragten Höhe in die Rechtsöffnung mit einzubeziehen. 4.3     Zu prüfen ist weiter die Rechtmässigkeit der Erhebung von Dossiereröffnungskosten in der Höhe von CHF 120.00. Die Beschwerdegegnerin hat im vorliegenden Verfahren ein Betreibungsverfahren veranlasst. Auch diesbezüglich besteht mit Art. 105b Abs. 2 KVV und Art. 3.1 der AVB eine Rechtsgrundlage für die Auferlegung von zusätzlichen, über die Mahnkosten hinausgehenden Bearbeitungskosten. Solche fallen namentlich bei der Veranlassung der Betreibung an. Während die Angemessenheit der Mahnspesenhöhe primär anhand des Verhältnisses zwischen der Gesamthöhe dieser Kosten auf der einen Seite und der Höhe des Prämienausstandes auf der anderen Seite beurteilt wird, betrifft das Äquivalenzprinzip nach seiner engeren Definition, wie sie auch im Urteil des Bundesgerichts 2C_717/2015 vom 13. Dezember 2015 verwendet wird, allerdings nicht das Verhältnis der Gebühren zum Wert der Leistung, welche der Verwaltung geschuldet ist, sondern vielmehr das Verhältnis zum Wert der Leistung, welche die Verwaltung erbringt, definiert als der wirtschaftliche Nutzen, den sie dem Pflichtigen bringt, oder als Kostenaufwand der konkreten Inanspruchnahme der Verwaltung im Verhältnis zum gesamten Aufwand des betreffenden Verwaltungszweiges (Urteil des Bundesgerichts 2C_717/2015 vom 13. Dezember 2015 E. 7.1). Wird das Äquivalenzprinzip so verstanden, so ist es für sich allein noch nicht unangemessen, wenn für die Geltendmachung eines nur geringfügigen Prämienaustandes prozentual höhere Gebühren erhoben werden als für die Geltendmachung eines höheren Ausstandes, da die Eintreibung eines geringfügigen Ausstandes nicht zwangsläufig einen proportional niedrigeren Zeit- und somit Kostenaufwand erfordert. Das Bundesgericht trägt diesem Umstand in seiner Rechtsprechung auch Rechnung; es hat in seinem Urteil vom 4. Februar 2016 ein Urteil erwähnt, in welchem Gebühren von gesamthaft CHF 50.00 zur Geltendmachung einer Kostenbeteiligungsforderung von nur Fr. 62.50 nicht beanstandet worden sind (E. 4.2.1 des Urteils vom 4. Februar 2016 mit Hinweis auf das Urteil K 24/06 vom 3. Juli 2005). Der vorliegende Betrag von CHF 120.00 für eine veranlasste Betreibung ist im Vergleich zu den in anderen Fällen von anderen Krankenkassen erhobenen Bearbeitungsgebühren im üblichen Rahmen und damit auch als noch im Einklang stehend mit dem Äquivalenzprinzip im Sinne der vorstehend wiedergegebenen engeren Definition zu beurteilen. Somit sind die Bearbeitungsgebühren von CHF 120.00 in der beantragten Höhe in die Rechtsöffnung mit einzubeziehen. 5.       Zusammenfassend ist somit in der Betreibung Nr. [...] des Betreibungsamtes B.___ im Umfang von CHF 1'246.75 (CHF 44.50 für ausstehenden Kostenbeteiligungen sowie Krankenkassenprämien von CHF 962.25 und CHF 240.00 für administrative Kosten) sowie 5 % Verzugszins ab</w:t>
      </w:r>
    </w:p>
    <w:p>
      <w:r>
        <w:rPr>
          <w:b/>
        </w:rPr>
        <w:t>E. 4</w:t>
      </w:r>
    </w:p>
    <w:p>
      <w:r>
        <w:t>März 2019 auf den Betrag von CHF 962.25 die definitive Rechtsöffnung zu erteilen. Die Beschwerde wird demnach abgewiesen.</w:t>
      </w:r>
    </w:p>
    <w:p>
      <w:r>
        <w:t>6.       Bei diesem Verfahrensausgang ist keine Parteientschädigung zuzusprechen.</w:t>
      </w:r>
    </w:p>
    <w:p>
      <w:r>
        <w:t>Grundsätzlich ist das Verfahren kostenlos. Von diesem Grundsatz abzuweichen, besteht im vorliegenden Fall kein Anlass.</w:t>
      </w:r>
    </w:p>
    <w:p>
      <w:r>
        <w:t>Demnach wirderkannt:</w:t>
      </w:r>
    </w:p>
    <w:p>
      <w:r>
        <w:t>1.Die Beschwerde wird abgewiesen.</w:t>
      </w:r>
    </w:p>
    <w:p>
      <w:r>
        <w:t>2.Die Beschwerdeführerin wird verpflichtet, der Beschwerdegegnerin den Betrag von CHF 1'246.75 sowie 5 % Verzugszins seit 4. März 2019 auf den Betrag von CHF 962.25 zu bezahlen. In diesem Umfang wird in der Betreibung Nr. [...] des Betreibungsamtes B.___ definitive Rechtsöffnung erteilt.</w:t>
      </w:r>
    </w:p>
    <w:p>
      <w:r>
        <w:t>3.Es werden weder eine Parteientschädigung zugesprochen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Auf die gegen den vorliegenden Entscheid erhobene Beschwerde trat das Bundesgericht mit Urteil 9C_500/2019 vom 25. September 2019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