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VSBES.2019.154 vom 28. Januar 2020</w:t>
      </w:r>
    </w:p>
    <w:p>
      <w:r>
        <w:t>SO Obergericht, 2020-01-28, DE</w:t>
      </w:r>
    </w:p>
    <w:p>
      <w:r>
        <w:rPr>
          <w:b/>
        </w:rPr>
        <w:t xml:space="preserve">Quelle: </w:t>
      </w:r>
      <w:r>
        <w:t>https://mcp.opencaselaw.ch/entscheid/so_gerichte_VSBES.2019.154_d20200128</w:t>
      </w:r>
    </w:p>
    <w:p>
      <w:r>
        <w:t>FR: SO_GERICHTE VSBES.2019.154 du 28 janvier 2020</w:t>
      </w:r>
    </w:p>
    <w:p>
      <w:r>
        <w:t>IT: SO_GERICHTE VSBES.2019.154 del 28 gennaio 2020</w:t>
      </w:r>
    </w:p>
    <w:p>
      <w:pPr>
        <w:pStyle w:val="Heading2"/>
      </w:pPr>
      <w:r>
        <w:t>Regeste</w:t>
      </w:r>
    </w:p>
    <w:p>
      <w:r>
        <w:t>unentgeltliche Verbeiständung im Verwaltungsverfahren</w:t>
      </w:r>
    </w:p>
    <w:p>
      <w:pPr>
        <w:pStyle w:val="Heading2"/>
      </w:pPr>
      <w:r>
        <w:t>Erwägungen</w:t>
      </w:r>
    </w:p>
    <w:p>
      <w:r>
        <w:rPr>
          <w:b/>
        </w:rPr>
        <w:t>E. 1</w:t>
      </w:r>
    </w:p>
    <w:p>
      <w:r>
        <w:t>Die Verfügung vom 10. Mai 2019 sei aufzuheben.</w:t>
      </w:r>
    </w:p>
    <w:p>
      <w:r>
        <w:rPr>
          <w:b/>
        </w:rPr>
        <w:t>E. 2</w:t>
      </w:r>
    </w:p>
    <w:p>
      <w:r>
        <w:t>Dem Beschwerdeführer sei für das Verwaltungsverfahren bei der Beschwerdegegnerin die unentgeltliche Rechtsverbeiständung unter Beiordnung der unterzeichnenden Rechtsanwältin als unentgeltliche Rechtsbeiständin zu gewähren.</w:t>
      </w:r>
    </w:p>
    <w:p>
      <w:r>
        <w:rPr>
          <w:b/>
        </w:rPr>
        <w:t>E. 3</w:t>
      </w:r>
    </w:p>
    <w:p>
      <w:r>
        <w:t>3.1     Der Beschwerdeführer lässt zur Begründung seiner Rechtsbegehren vorbringen, es gehe vorliegend darum, das medizinische Gutachten zu analysieren. Für das Erkennen von Schwachstellen seien gemäss Rechtsprechung in der Regel gewisse medizinische Kenntnisse und juristischer Sachverstand erforderlich, über welche der Beschwerdeführer offensichtlich nicht verfüge. Zudem gehe es vorliegend nicht allein um die Würdigung des Gutachtens, sondern um dessen Unvollständigkeit: Nicht abgeklärt worden seien bis anhin nämlich die Auswirkungen der ausgeprägten Polyneuropathie und der Nephropathie auf die Arbeitsfähigkeit des Beschwerdeführers. Im Rahmen der interdisziplinären Gesamtbeurteilung sei lediglich festgehalten worden, dass sich ein unsicheres Stand- und Gangbild zeige, welches zu einer Polyneuropathie passen würde; eine neurologische Untersuchung müsste dies weiter bestätigen (Gutachten, S. 5). Insofern sei bis heute nicht abgeklärt, welche Folgen die ärztlich attestierte, ausgeprägte Polyneuropathie auf die Arbeitsfähigkeit habe. Angesichts des vom Beschwerdeführer geschilderten heftigen Schwindels und der ausgeprägten Müdigkeit dränge sich zudem eine neuropsychologische Abklärung auf (A.S. 7). Ebenfalls nicht abgeklärt seien die Auswirkungen der ärztlich attestierten Nephropathie auf die Arbeitsfähigkeit des Beschwerdeführers. Überdies ergebe sich aus dem Gutachten, dass der Beschwerdeführer antriebslos, verzweifelt und psychisch stark angeschlagen sei. Ob eine psychische Krankheit mit Einfluss auf die Arbeitsfähigkeit vorliege, sei ebenfalls nicht abgeklärt worden. Deshalb sei im Rahmen des Vorbescheidverfahrens beantragt worden, ergänzende medizinische Abklärungen vorzunehmen, weil das Gutachten unvollständig sei. Bis anhin sei der Beschwerdeführer nur allgemeinmedizinisch und orthopädisch abgeklärt worden, was nicht ausreichend sei. Zudem komme das allgemeinmedizinische Gutachten nicht zum Schluss, dass eine Arbeitsfähigkeit in einer Verweistätigkeit bestehe. Es stehe damit im Widerspruch zur interdisziplinären Gesamtbeurteilung (Konsensbeurteilung), was auch weitere medizinische Abklärungen rechtfertige. Vorliegend sei das Gutachten somit unvollständig ausgefallen und weitere medizinische Abklärungen drängten sich auf. Der Beschwerdeführer sei bereits aufgrund seiner Ausbildung und seiner sprachlichen Fähigkeiten nicht in der Lage, das Gutachten zu verstehen und zu beurteilen, ob dieses vollständig sei oder nicht. Er sei italienischer Staatsangehöriger und Deutsch sei für ihn eine Fremdsprache. Somit tue er sich schwer, einen derart komplexen Text, wie es ein medizinisches Gutachten darstelle, zu verstehen. Er habe zudem nur die Oberschule besucht, was beweise, dass er nur über eine tiefe Intelligenz verfüge. Er habe das Gutachten nicht verstanden. Somit sei der Beizug einer Anwältin geboten gewesen. Nach der bundesgerichtlichen Rechtsprechung sei eine anwaltliche Vertretung bei aussergewöhnlicher Komplexität erforderlich, insbesondere wenn der Sachverhalt unübersichtlich und die Aktenlage lückenhaft sei. Diese Voraussetzungen seien vorliegend gegeben, da die Aktenlage lückenhaft und unvollständig sei. Es seien weitere neurologische, neuropsychologische, psychiatrische Abklärungen und Abklärungen zum Nierenleiden zu treffen. Dies zu erkennen, sei der Beschwerdeführer nicht in der Lage gewesen, weshalb der Beizug einer Rechtsvertretung geboten gewesen sei (A.S. 8). Des Weiteren sei es weitaus prozessökonomischer, das Gutachten bereits im Vorbescheidverfahren durch eine Rechtsvertretung analysieren zu lassen, die ergänzenden medizinischen Massnahmen bereits in diesem Verfahrensstadium zu beantragen und weitere medizinische Abklärungen anzuordnen. Zeigten diese weiteren Abklärungen, dass z.B. trotzdem ein rentenausschliessendes Einkommen erzielt werden könne, wäre die Sachlage mutmasslich klar, und es müsste keine Beschwer­de ergriffen werden. Die Nichtgewährung der unentgeltlichen Rechtsverbeiständung führe somit zu einem weitaus aufwändigeren Verfahren und zu einer unnötigen Belastung der Gerichte, was nicht sinnvoll sei. Der Beizug einer Rechtsvertretung bereits im Vorbescheidverfahren sei damit auch aus prozessökonomischen Gründen geboten gewesen (A.S. 9). 3.2     Die Beschwerdegegnerin hält mit Eingabe vom 26. Juni 2019 (A.S. 19) an der angefochtenen Verfügung vom 10. Mai 2019 (A.S. 1 ff.) fest. In dieser legt sie im Wesentlichen dar, es sei nicht relevant, ob der Beschwerdeführer über medizinische Kenntnisse und juristischen Sachverstand verfüge; entscheidend sei vielmehr, ob eine Komplexität vorliege, die eine anwaltliche Verbeiständung erfordern würde. Gemäss bundesgerichtlicher Rechtsprechung vermöge die hohe Bedeutung medizinischer Gutachten für sich allein genommen die Notwendigkeit einer anwaltlichen Vertretung nicht zu begründen. Der Umstand, dass sich die Frage nach der Notwendigkeit einer umfassenden Neuabklärung oder nach weiteren Abklärungen stellen könnte, vermöge ebenfalls keine aussergewöhnliche Komplexität zu begründen, denn solche Themen gehörten in derartigen Verfahren zur Tagesordnung. Es komme hinzu, dass mit der Wiedereinführung des Vorbescheidverfahrens per 1. Juli 2006 angestrebt worden sei, das Verfahren weniger formalistisch, sondern einfacher und «bürgernäher» als das zuvor geltende Einspracheverfahren zu gestalten. Dies habe dazu geführt, dass an Vorbingen im Rahmen des Vorbescheidverfahrens keine hohen formellen Anforderungen gestellt würden. Aus den Akten ergäben sich zudem keine Hinweise, dass der Beschwerdeführer nicht in der Lage wäre, die Tragweite des laufenden Verfahrens abzuschätzen, oder dass er nicht über die Fähigkeit verfüge, sich in diesem Verfahren alleine zurecht zu finden (vgl. Protokolleinträge vom 25. Februar 2019 und vom 20. März 2019). Es sei ferner nicht entscheidend, ob die geltend gemachten Einwendungen letztlich stichhaltig oder unbegründet sind. Es komme also nicht darauf an, ob durch den Beizug einer anwaltlichen Vertretung eine wirkungsvollere Darlegung des eigenen Standpunktes erreicht werden könne.</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 Urs Müller , Das Verwaltungsverfahren in der Invalidenversicherung, 2010, Rz. 2024 mit Hinweisen). «Erforderlichkeit» meint das Vorliegen von qualifizierenden oder besonderen Umständen (vgl. Müller, a.a.O., Rz. 2011 mit Hinweis). 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 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 5.2.1  Besondere Schwierigkeiten können beispielsweise aus der verfahrensrechtlichen Ausgangslage resultieren. Diese präsentiert sich hier jedoch vergleichsweise einfach: Es geht darum, ob der Beschwerdeführer einen Anspruch auf Leistungen der Invalidenversicherung hat. Dabei handelt es sich um eine Erstanmeldung und die Beschwerdegegnerin hat im Rahmen ihrer Abklärungen ein medizinisches Gutachten veranlasst, um den rechtserheblichen medizinischen Sachverhalt zu ermitteln. Gestützt auf das eingeholte Gutachten gelangt sie zum Schluss, das Leistungsbegehren abzuweisen (vgl. auch E. I. 1 hievor). Eine überdurchschnittliche verfahrensmässige Schwierigkeit oder Komplexität liegt damit nicht vor. Eine solche kann beispielsweise vorliegen, wenn die Angelegenheit wiederholt durch das Gericht an die Verwaltung zurückgewiesen wird, oder wenn gravierende Verfahrensfehler zur Diskussion stehen. So verhält es sich hier indes nicht. 5.2.2  Inhaltlich steht die Würdigung der medizinischen Unterlagen, insbesondere des bidisziplinären Gutachtens der Begutachtungsstelle B.___ vom 18. Februar 2019 (IV-Nr. 42.1 - 42.6; vgl. auch E. I. 1 hievor) im Vordergrund.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wird,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 Derartige oder vergleichbare, eine besondere Komplexität oder Schwierigkeit begründende Umstände sind vorliegend nicht ersichtlich. Entgegen der Auffassung des Beschwerdeführers ergeben sie sich namentlich nicht bereits daraus, dass sich ein medizinisches Gutachten allenfalls nicht als vollständig erweisen und sich gegebenenfalls die Frage nach der Notwendigkeit weiterer Abklärungen – namentlich in zusätzlichen medizinischen Fachrichtungen, welche durch die Begutachtung nicht abgedeckt worden sind – stellen könnte. Denn derartige Konstellationen bilden durchaus keine Seltenheit und es kann daraus auch nicht auf einen derart unübersichtlichen Sachverhalt geschlossen werden, dass dies eine aussergewöhnliche Komplexität zu begründen vermöchte. 5.2.3  Zusammenfassend weist das Verwaltungsverfahren keine Elemente auf, welche geeignet wären, eine aussergewöhnliche Schwierigkeit oder Komplexität zu begründen. Es handelt sich um einen «normalen» Erstanmeldungsfall mit Veranlassung einer medizinischen Begutachtung. Im Vordergrund steht die Würdigung des eingeholten bidisziplinären Gutachtens, auf das sich der Vorbescheid vom 19. März 2019 (IV-Nr. 47) im Wesentlichen stützt. Es stellen sich dabei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 5.3     Nicht stichhaltig ist des Weiteren auch die Berufung auf die intellektuelle und sprachliche Unfähigkeit des Beschwerdeführers, den medizinisch und juristisch in casu relevanten Sachverhalt in genügender Weise zu erfassen.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8C_240/2018 vom 3. Mai 2018 E. 3.2, 8C_760/2016 vom 3. März 2017 E. 4.2.3, 9C_315/2009 vom 18. September 2009 E. 2.2). Dass dies objektiv nicht möglich gewesen wäre, wird vom Beschwerdeführer nicht substanziiert dargelegt und ist denn auch nicht ersichtlich. Auch vor diesem Hintergrund kann die Verbeiständung durch eine Rechtsanwältin nicht als erforderlich gelten. Mit Blick auf die Möglichkeit des Beizugs von Fachpersonen sozialer Institutionen oder unentgeltlicher Rechtsberatungen läuft sodann auch das vom Beschwerdeführer vorgebrachte Argument der Prozessökonomie (vgl. E. II. 3.1 hievor) ins Leere. Mit der Beschwerdegegnerin ist ausserdem festzuhalten, dass sich aus den Akten keine Hinweise ergeben, dass der Beschwerdeführer nicht in der Lage gewesen sein sollte, die Tragweite des Verwaltungsverfahrens abzuschätzen oder sich darin zurecht zu finden. Aus den von der Beschwerdegegnerin in der angefochtenen Verfügung erwähnten – seitens Beschwerdeführer unbestritten gebliebenen – Protokolleinträgen geht denn auch hervor, dass der Beschwerdeführer bei Unklarheiten Rücksprache mit der Beschwerdegegnerin nahm und sich hinsichtlich Gutachten Hilfestellung von seinem behandelnden Arzt holen wollte. So lässt sich dem Eintrag vom 25. Februar 2019 entnehmen, dass sich der Beschwerdeführer bezüglich des Schreibens der Beschwerdegegnerin vom 20. Februar 2019 (IV-Nr. 43; Zustellung des Gutachtens und Möglichkeit zur Stellungnahme) bei der Beschwerdegegnerin erkundigt und diese ihm dessen Inhalt erläutert habe. Der Beschwerdeführer habe erklärt, dass er wissen möchte, wann er mit einem Entscheid rechnen könne. Er habe zu wenig Einkommen und warte schon sehr lange auf den Entscheid. Er werde nun mit seinem Arzt Kontakt aufnehmen, um das Gutachten mit ihm zu besprechen. Gemäss Protokolleintrag vom 20. März 2019 habe sich der Beschwerdeführer bei der Beschwerdegegnerin erneut nach dem Verfahrensstand erkundigt; sie habe ihm mitgeteilt, dass am Vortag der eine Abweisung in Aussicht stellende Vorbescheid versendet worden sei. Damit habe sich der Beschwerdeführer nicht einverstanden erklärt und er habe die Gründe erfahren wollen. Die Beschwerdegegnerin habe ihn auf den Inhalt des Vorbescheids verwiesen und versucht, ihm seine weiteren Möglichkeiten zu erläutern. Der Beschwerdeführer habe daraufhin angekündigt, dass er vor Gericht gegen den Entscheid vorgehen wolle. 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10. Mai 2019,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Rechtsanwältin Andrea Stäuble Dietrich als unentgeltliche Rechtsbeiständin beigeordnet (vgl. E. I. 4 hievor).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Stäuble Dietrich hat am 3. Juli 2019 eine Kostennote eingereicht (A.S. 23 f.), worin sie ein amtliches Honorar von insgesamt CHF 1'795.15 (Stundenansatz CHF 180.00) bzw. ein volles Honorar von insgesamt CHF 2'279.80 (Stundenansatz CHF 230.00) geltend macht. Der geltend gemachte Zeitaufwand von total neun Stunden fällt im Vergleich zu ähnlich gelagerten Fällen als eher hoch aus, kann aber gerade noch als angemessen gelten. Mit einem Stundenansatz von CHF 180.00 (§ 161 i.V.m. § 160 Abs. 3 GT) ergibt sich damit eine Entschädigung von CHF 1'795.15 (9 Std. x CHF 180.00 zuzügl. Auslagen von CHF 46.80 sowie 7.7 % MwSt), zahlbar durch die Zentrale Gerichtskasse des Kantons Solothurn. Vorbehalten bleibt der Rückforderungsanspruch des Staates während zehn Jahren, wenn A.___ zur Nachzahlung in der Lage ist (§ 123 ZPO).</w:t>
      </w:r>
    </w:p>
    <w:p>
      <w:r>
        <w:t>Vorbehalten bleibt auch der Nachforderungsanspruch der unentgeltlichen Rechtsbeiständin im Umfang von CHF 484.65 (Differenz zum vollen Honorar in Höhe von CHF 2'279.80), wenn der Beschwerdeführer zur Nachzahlung in der Lage ist (Art. 123 ZPO). Zum Nachzahlungsanspruch der unentgeltlichen Rechtsbeiständin ist anzufügen, dass hier vom geltend gemachten Stundenansatz von CHF 230.00 auszugehen ist. Praxisgemäss wird dieser auch vom Gericht in dieser Höhe festgesetzt (vgl. § 160 Abs. 2 GT), wenn wie vorliegend keine Honorarvereinbarung mit dem Klienten vorgelegt wird, in der ein höherer Ansatz vereinbart worden ist.</w:t>
      </w:r>
    </w:p>
    <w:p>
      <w:r>
        <w:t>7.3     Das Verfahren ist kostenlos (Art. 61 lit. a ATSG; Urteil des Bundesgerichts I 746/06 vom 8. November 2006 E. 4 mit Hinweisen).</w:t>
      </w:r>
    </w:p>
    <w:p>
      <w:r>
        <w:t>Demnach wirderkannt:</w:t>
      </w:r>
    </w:p>
    <w:p>
      <w:r>
        <w:t>3.Die Kostenforderung der unentgeltlichen Rechtsbeiständin, Rechtsanwältin Andrea Stäuble Dietrich, wird auf CHF 1'795.15 (inkl. Auslagen und MwSt) festgesetzt, zahlbar durch die Zentrale Gerichtskasse des Kantons Solothurn. Vorbehalten bleibt der Rückforderungsanspruch des Staates sowie der Nachzahlungsanspruch der unentgeltlichen Rechtsbeiständin im Umfang von CHF 484.65 (Differenz zum vollen Honorar inkl. MwSt) während zehn Jahren,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