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VSBES.2019.145 vom 18. April 2019</w:t>
      </w:r>
    </w:p>
    <w:p>
      <w:r>
        <w:t>SO Obergericht, 2019-04-18, DE</w:t>
      </w:r>
    </w:p>
    <w:p>
      <w:r>
        <w:rPr>
          <w:b/>
        </w:rPr>
        <w:t xml:space="preserve">Quelle: </w:t>
      </w:r>
      <w:r>
        <w:t>https://mcp.opencaselaw.ch/entscheid/so_gerichte_VSBES.2019.145</w:t>
      </w:r>
    </w:p>
    <w:p>
      <w:r>
        <w:t>FR: SO_GERICHTE VSBES.2019.145 du 18 avril 2019</w:t>
      </w:r>
    </w:p>
    <w:p>
      <w:r>
        <w:t>IT: SO_GERICHTE VSBES.2019.145 del 18 aprile 2019</w:t>
      </w:r>
    </w:p>
    <w:p>
      <w:pPr>
        <w:pStyle w:val="Heading2"/>
      </w:pPr>
      <w:r>
        <w:t>Erwägungen</w:t>
      </w:r>
    </w:p>
    <w:p>
      <w:r>
        <w:rPr>
          <w:b/>
        </w:rPr>
        <w:t>E. 1</w:t>
      </w:r>
    </w:p>
    <w:p>
      <w:r>
        <w:t>1.1     Die 1965 geborene A.___ erlitt am 13. März 2012 einen Skiunfall und zog sich dabei eine Schulterverletzung zu. Rund drei Jahre später kam es am 16. Februar 2015 zu einem zweiten Skiunfall mit einer Verletzung am Knie. Am 25. Juli 2015 meldete sich die Versicherte bei der IV-Stelle des Kantons Solothurn (nachfolgend: IV-Stelle) unter Hinweis auf einen nicht ausgeheilten Schienbeinkopfbruch an (IV-Stelle Beleg Nr. [IV-Nr.] 5). Die Versicherte ist gelernte Pflegefachfrau und war bis am 30. November 2015 in einem 60%-Pensum bei der Stiftung B.___ in C.___ angestellt. Als alleinerziehende Mutter einer im Februar 2008 geborenen Tochter arbeitete sie im Nachtdienst. Seit dem 1. Mai 2016 ist A.___ in einem 50%-Pensum als Pflegefachfrau Nachtwache im A.___ tätig.</w:t>
      </w:r>
    </w:p>
    <w:p>
      <w:r>
        <w:t>1.2     Die IV-Stelle holte einen Arbeitgeberbericht (IV-Nr. 10) sowie die medizinischen Berichte des behandelnden Orthopäden ein und führte am 21. September 2015 ein Früherfassungsgespräch (IV-Nr. 12) durch. Auf Empfehlung des regionalen ärztlichen Dienstes (nachfolgend: RAD) veranlasste die IV-Stelle ausserdem eine bidisziplinäre Begutachtung in den Fachrichtungen Orthopädie und Psychiatrie bei der D.___ GmbH, welches am 8. November 2017 erstattet wurde (IV-Nr. 36.1). Zudem erstellte eine Abklärungsfachfrau der IV-Stelle die Situationsberichte vom 8. Januar 2018 (IV-Nr. 42) und 27. Juni 2018 (IV-Nr. 47) sowie eine ergänzende Stellungnahme zu den Einwänden der Versicherten vom 23. Oktober 2018 (IV-Nr. 55)</w:t>
      </w:r>
    </w:p>
    <w:p>
      <w:r>
        <w:t>2.       Gestützt auf das eingeholte D.___-Gutachten vom 8. November 2017 (IV-Nr. 36.1) sowie den Situationsbericht der Abklärungsfachfrau vom 27. Juni 2018 (IV-Nr. 47) und deren ergänzende Stellungnahme vom 23. Oktober 2018 (IV-Nr. 55) sprach die IV-Stelle A.___ mit Verfügung vom 18. April 2019 (A.S. 1 ff.) nach durchgeführtem Vorbescheidverfahren (IV-Nr. 48) eine befristete Dreiviertelrente vom 1. Februar 2016 bis 31. Juli 2016 zu.</w:t>
      </w:r>
    </w:p>
    <w:p>
      <w:r>
        <w:t>3.       Dagegen erhebt A.___ (fortan: Beschwerdeführerin), vertreten durch Rechtsanwalt Roger Zenari, am 20. Mai 2019 Beschwerde beim Versicherungsgericht des Kantons Solothurn (nachfolgend: Versicherungsgericht) mit folgenden Rechtsbegehren (A.S. 10 ff.):</w:t>
      </w:r>
    </w:p>
    <w:p>
      <w:r>
        <w:t>1.       Die Verfügung der Beschwerdegegnerin vom 18. April 2019 sei vollumfänglich aufzuheben.</w:t>
      </w:r>
    </w:p>
    <w:p>
      <w:r>
        <w:t>2.       Die Beschwerdegegnerin sei zu verpflichten, der Beschwerdeführerin bis 31. Juli 2016 eine ganze Invalidenrente, ab 1. August 2016 bis 31. Dezember 2017 mindestens eine Viertels-Invalidenrente und ab 1. Januar 2018 mindestens eine halbe Invalidenrente zu entrichten.</w:t>
      </w:r>
    </w:p>
    <w:p>
      <w:r>
        <w:t>3.       Eventualiter sei die Angelegenheit für weitere Abklärungen an die Beschwerdegegnerin zurückzuweisen.</w:t>
      </w:r>
    </w:p>
    <w:p>
      <w:r>
        <w:t>4.       Unter Kosten- und Entschädigungsfolgen zu Lasten der Beschwerdegegnerin.</w:t>
      </w:r>
    </w:p>
    <w:p>
      <w:r>
        <w:t>4.       Die IV-Stelle (fortan: Beschwerdegegnerin) beantragt in ihrer Beschwerdeantwort vom 21. Juni 2019 (A.S. 29 f.) die Abweisung der Beschwerde.</w:t>
      </w:r>
    </w:p>
    <w:p>
      <w:r>
        <w:t>5.       Mit Eingabe vom 16. August 2019 reicht der Vertreter der Beschwerdeführerin eine Replik (A.S. 34 ff.) und mit Eingabe vom 10. September 2019 die Kostennote (A.S. 41 ff.) ein. Die Beschwerdegegnerin verzichtet auf eine Duplik (A.S. 39).</w:t>
      </w:r>
    </w:p>
    <w:p>
      <w:r>
        <w:t>6.       Auf die weiteren Ausführungen in den Rechtsschriften der Parteien wird, soweit erforderlich, in den nachfolgenden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ein Anspruch auf eine halbe Rente und bei einem Invaliditätsgrad von mindestens 40 % ein solcher auf eine Viertelsrente.</w:t>
      </w:r>
    </w:p>
    <w:p>
      <w:r>
        <w:t>2.2     Arbeitsunfähigkeit ist gemäss Art. 6 Bundesgesetz über den Allgemeinen Teil des Sozialversicherungsrechts (ATSG, SR 830.1)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w:t>
      </w:r>
    </w:p>
    <w:p>
      <w:r>
        <w:rPr>
          <w:b/>
        </w:rPr>
        <w:t>E. 7</w:t>
      </w:r>
    </w:p>
    <w:p>
      <w:r>
        <w:t>Abs. 2 ATSG). Als Invalidität gilt nach Art. 8 ATSG die voraussichtlich bleibende oder längere Zeit dauernde ganze oder teilweise Erwerbsunfähigkeit. Sie kann Folge von Geburtsgebrechen, Krankheit oder Unfall sein (Art. 4 IVG).</w:t>
      </w:r>
    </w:p>
    <w:p>
      <w:r>
        <w:t>2.3     Für die Bemessung der Invalidität von erwerbstätigen Versicherten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28a Abs. 1 IVG i.V.m. Art. 16 ATSG; sog. allgemeine Methode des Einkommensvergleichs). Bei nicht erwerbstätigen Versicherten, die im Aufgabenbereich tätig sind und denen die Aufnahme einer Erwerbstätigkeit nicht zugemutet werden kann, wird für die Bemessung der Invalidität darauf abgestellt, in welchem Masse sie unfähig sind, sich im Aufgabenbereich zu betätigen (Art. 28 Abs. 2 IVG; sog. spezifische Methode des Betätigungsvergleichs). Bei Versicherten, die nur zum Teil erwerbstätig sind oder die unentgeltlich im Betrieb des Ehegatten oder der Ehegattin mitarbeiten, wird für diesen Teil die Invalidität nach der allgemeinen Methode des Einkommensvergleichs festgelegt. Waren sie daneben auch im Aufgabenbereich tätig, so wird die Invalidität für diese Tätigkeit nach der spezifischen Methode des Betätigungsvergleichs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sog. gemischte Methode).</w:t>
      </w:r>
    </w:p>
    <w:p>
      <w:r>
        <w:t>3.</w:t>
      </w:r>
    </w:p>
    <w:p>
      <w:r>
        <w:t>3.1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3.2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3.3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3.4     Die Rechtsprechung erachtet es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w:t>
      </w:r>
    </w:p>
    <w:p>
      <w:r>
        <w:t>4.</w:t>
      </w:r>
    </w:p>
    <w:p>
      <w:r>
        <w:t>4.1     Die Beschwerdegegnerin sprach der Beschwerdeführerin in der angefochtenen Verfügung (A.S. 1 ff.) eine befristete Dreiviertelsrente vom 1. Februar 2016 bis 31. Juli 2016 zu. Die eigenen Abklärungen hätten ergeben, dass die Versicherte ohne Gesundheitsschaden einer ausserhäuslichen Tätigkeit in einem Pensum von 60 % nachgehen würde. Die restlichen 40 % entfielen in den Aufgabenbereich der Haushaltführung, in welcher sie nicht eingeschränkt sei. Die medizinischen Abklärungen hätten ergeben, dass die Beschwerdeführerin ab dem 16. Februar 2015 erwerbsunfähig gewesen sei. Basierend auf der Berechnungsweise der gemischten Methode ergebe dies einen Gesamtinvaliditätsgrad von 60 %. Es bestehe daher ab 1. Februar 2016 ein Anspruch auf eine Dreiviertelsrente. Der Gesundheitszustand der Versicherten habe sich in der Folge verbessert und es sei ihr seit dem 1. Mai 2016 zumutbar, in ihrer angestammten Tätigkeit als Pflegefachfrau zu 50 % und in einer angepassten Tätigkeit zu 70 % arbeitstätig zu sein. Der Gesamtinvaliditätsgrad betrage basierend auf der gemischten Methode 14 % ab 1. Mai 2016 respektive 32 % ab 1. Januar 2018. Die ab 1. Februar 2016 zugesprochene Dreiviertelsrente werde gemäss Art. 88a Abs. 1 der Verordnung zum Bundesgesetz über die Invalidenversicherung (IVV, SR 831.201) bis zum 31. Juli 2016 befristet. Hinsichtlich der Einwände der Beschwerdeführerin äussert sich die Beschwerdegegnerin dahingehend, dass der Verzicht auf eine örtliche Haushaltsabklärung nicht zu beanstanden sei. Im Rahmen des Telefongesprächs für eine Terminvereinbarung sei durch die Versicherte dargetan worden, dass im Bereich der Haushaltsführung keine Einschränkungen bestünden. Dies werde auch durch das medizinische Gutachten bestätigt. Aus dem Gutachten sei ausserdem ein Fähigkeitsprofil ersichtlich, welches leichte bis mittelschwere Tätigkeiten von Heben und Tragen von Gegenständen bis 15 kg in rückenschulgerechter Haltung in temperierten Räumen, im Wechsel zwischen Gehen, Sitzen und Stehen für zumutbar erkläre. Aus allgemeiner Erfahrung könne gesagt werden, dass die Tätigkeiten im Haushaltsbereich diesem Profil entsprächen und daher keine Wechselwirkungen in einem beachtlichen Ausmass bestünden. Ferner hält die Beschwerdegegnerin fest, dass das Valideneinkommen mit den Tabellenlöhnen und nicht mit dem zuletzt erzielten Verdienst bei der Stiftung B.___ zu berechnen sei. Der Versicherten sei die Stelle aus wirtschaftlichen Gründen gekündigt worden. Dies ergebe sich aus dem Früherfassungsgespräch, aus welchem hervorgehe, dass es mehrere Entlassungen gegeben habe.</w:t>
      </w:r>
    </w:p>
    <w:p>
      <w:r>
        <w:t>4.2     Mit Beschwerde vom 20. Mai 2019 (A.S.</w:t>
      </w:r>
    </w:p>
    <w:p>
      <w:r>
        <w:rPr>
          <w:b/>
        </w:rPr>
        <w:t>E. 10</w:t>
      </w:r>
    </w:p>
    <w:p>
      <w:r>
        <w:t>10.1   Nach Art. 61 lit. g ATSG hat die ganz oder teilweise obsiegende Beschwerde führende Person Anspruch auf Ersatz der Parteikosten. Diese werden vom Versicherungsgericht festgesetzt und ohne Rücksicht auf den Streitwert nach der Bedeutung der Streitsache und der Schwierigkeit des Prozesses bemessen. Bei teilweisem Obsiegen ist die Parteientschädigung insoweit zu reduzieren, als das Rechtsbegehren, welches über die Gutheissung hinausgeht, den Prozessaufwand erhöht hat (vgl. Urteil des Bundesgerichts 9C_995/2012 vom 17. Januar 2013 E. 3 mit Hinweisen). Wird statt einer unbefristeten Rente ein befristeter Anspruch zugesprochen, betrifft dies das Quantitativ. Unter diesen Umständen kommt die Zusprechung einer vollen Parteientschädigung trotz nur teilweisen Obsiegens nur in Frage, wenn die Beschwerde führende Person im Grundsatz obsiegt und lediglich im Masslichen (teilweise) unterliegt (Urteil des Bundesgerichts 9C_580/2010 vom 16. November 2010 E. 4.1).</w:t>
      </w:r>
    </w:p>
    <w:p>
      <w:r>
        <w:t>10.2   Vorliegend erhöht das Versicherungsgericht den von der Vorinstanz auf sechs Monate befristeten Rentenanspruch von einer Dreiviertelsrente auf eine ganze Rente. Hingegen wird die über den 31. Juli 2016 hinausgehend beantragte Invalidenrente verneint. Damit obsiegt die Beschwerdeführerin in einem relativ beschränkten Umfang. Der Prozessaufwand des Versichertenanwalts fiel im Hinblick auf den beantragten Rentenanspruch über den 31. Juli 2016 hinaus und die dabei geltend gemachte Einschränkung im Aufgabenbereich deutlich erhöht aus. Es rechtfertigt sich, daher die Parteientschädigung auf die Hälfte zu kürzen und dementsprechend der Beschwerdeführerin auch die Hälfte der Verfahrenskosten aufzuerlegen.</w:t>
      </w:r>
    </w:p>
    <w:p>
      <w:r>
        <w:t>10.3     Mit Honorarnote vom 10. September werden ein Aufwand von 11.01 Stunden à CHF 250.00 und Auslagen in Höhe von CHF 54.90 zuzüglich 7.7 % Mehrwertsteuer geltend gemacht. In Anbetracht von Aufwand und Schwierigkeit des Prozesses sowie der hälftigen Reduktion ist die Parteientschädigung auf CHF 1'386.60 festzusetzen (10.08 Stunden zu CHF 250.00 [§ 160 Abs. 2 GT], zuzüglich Auslagen von CHF 54.90 und MwSt : 2). Differenzen zur eingereichten Kostennote ergeben sich unter anderem aus den Positionen «Brief an Klient» mit einem Aufwand von jeweils 0.17 Stunden, welche als Orientierungskopien an die Klientin zu werten sind und damit als Kanzleiaufwand gelten, welcher bereits im Stundenansatz des Rechtsvertreters enthalten ist und demnach nicht gesondert vergütet wird. Die Einreichung der Kostennote vom 10. September 2019 mit einem Aufwand von 0.25 Stunden stellt ebenfalls einen nicht zu vergütenden Kanzleiaufwand dar.</w:t>
      </w:r>
    </w:p>
    <w:p>
      <w:r>
        <w:t>10.4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Vorliegend haben die Parteien die Verfahrenskosten in Höhe von CHF 600.00 hälftig zu tragen. Demnach hat die IV-Stelle Verfahrenskosten von CHF 300.00 zu bezahlen. Der Beschwerdeführerin ist die Hälfte des geleisteten Kostenvorschusses  CHF 300.00  zurückzuerstatten.</w:t>
      </w:r>
    </w:p>
    <w:p>
      <w:r>
        <w:t>Demnach wirderkannt:</w:t>
      </w:r>
    </w:p>
    <w:p>
      <w:r>
        <w:t>1.Die Beschwerde wird teilweise gutgeheissen. Die angefochtene Verfügung vom 18. April 2019 wird in dem Sinne abgeändert, dass die Beschwerdegegnerin verpflichtet wird, der Beschwerdeführerin vom 1. Februar 2016 bis 31. Juli 2016 eine ganze Rente auszurichten. Im Übrigen wird die Beschwerde abgewiesen.</w:t>
      </w:r>
    </w:p>
    <w:p>
      <w:r>
        <w:t>2.Die Beschwerdegegnerin hat der Beschwerdeführerin eine reduzierte Parteientschädigung von CHF 1'386.60 (inkl. Auslagen und MwSt) zu bezahlen.</w:t>
      </w:r>
    </w:p>
    <w:p>
      <w:r>
        <w:t>3.Die Beschwerdegegnerin hat Verfahrenskosten in Höhe von CHF 300.00 zu bezahlen.</w:t>
      </w:r>
    </w:p>
    <w:p>
      <w:r>
        <w:t>4.Der Beschwerdeführerin werden vom geleisteten Kostenvorschuss CHF 300.00 zurückerstattet. Der Rest von CHF 300.00 wird mit dem durch sie zu tragenden Gerichtskostenanteil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