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VSBES.2019.133 vom 2. März 2020</w:t>
      </w:r>
    </w:p>
    <w:p>
      <w:r>
        <w:t>SO Obergericht, 2020-03-02, DE</w:t>
      </w:r>
    </w:p>
    <w:p>
      <w:r>
        <w:rPr>
          <w:b/>
        </w:rPr>
        <w:t xml:space="preserve">Quelle: </w:t>
      </w:r>
      <w:r>
        <w:t>https://mcp.opencaselaw.ch/entscheid/so_gerichte_VSBES.2019.133_d20200302</w:t>
      </w:r>
    </w:p>
    <w:p>
      <w:r>
        <w:t>FR: SO_GERICHTE VSBES.2019.133 du 2 mars 2020</w:t>
      </w:r>
    </w:p>
    <w:p>
      <w:r>
        <w:t>IT: SO_GERICHTE VSBES.2019.133 del 2 marzo 2020</w:t>
      </w:r>
    </w:p>
    <w:p>
      <w:pPr>
        <w:pStyle w:val="Heading2"/>
      </w:pPr>
      <w:r>
        <w:t>Regeste</w:t>
      </w:r>
    </w:p>
    <w:p>
      <w:r>
        <w:t>Berufliche Massnahmen und IV-Rente</w:t>
      </w:r>
    </w:p>
    <w:p>
      <w:pPr>
        <w:pStyle w:val="Heading2"/>
      </w:pPr>
      <w:r>
        <w:t>Erwägungen</w:t>
      </w:r>
    </w:p>
    <w:p>
      <w:r>
        <w:rPr>
          <w:b/>
        </w:rPr>
        <w:t>E. 2</w:t>
      </w:r>
    </w:p>
    <w:p>
      <w:r>
        <w:t>2.1     Mit Vorbescheid vom 14. Februar 2019 stellte die Beschwerdegegnerin dem Beschwerdeführer in Aussicht, sie werde einen Anspruch auf berufliche Massnahmen und auf eine Invalidenrente verneinen, weil er seine Mitwirkungspflicht verletzt habe (IV-Nr. 20). Am 28. Februar 2019 meldete sich die Partnerin des Beschwerdeführers telefonisch bei der Beschwerdegegnerin. Sie teilte mit, der Beschwerdeführer wünsche ein Gespräch mit der Eingliederungsfachperson. Gemäss Protokollnotiz wurde ihr mitgeteilt, man müsse das schriftlich haben (vgl. Protokolleintrag vom 28. Februar 2019). 2.2     Am 5. April 2019 erliess die Beschwerdegegnerin eine im Sinn des Vorbescheids lautende Verfügung. Sie verneinte einen Anspruch auf berufliche Massnahmen und auf eine Invalidenrente, weil der Beschwerdeführer seine Mitwirkungspflicht verletzt habe (IV-Nr. 22). 3.       Mit Schreiben vom 26. April 2019 liess der Beschwerdeführer die Beschwerdegegnerin ersuchen, ihre Verfügung vom 5. April 2019 in Wiedererwägung zu ziehen. Er sei uneingeschränkt bereit, an beruflichen Massnahmen mitzuwirken (IV-Nr. 23). Die Beschwerdegegnerin erklärte am 15. Mai 2019, sie werde die Verfügung nicht in Wiedererwägung ziehen, nehme aber das bei ihr am 29. April 2019 eingegangene Schreiben des Beschwerdeführers als Neuanmeldung entgegen und werde ihm einen neuen Gesprächstermin anbieten (IV-Nr. 27). 4.       Am 9. Mai 2019 lässt der Beschwerdeführer gegen die Verfügung vom 5. April 2019 beim Versicherungsgericht des Kantons Solothurn (nachfolgend: Versicherungsgericht) fristgerecht Beschwerde erheben (Aktenseiten [A.S.] 4 ff.) und die folgenden Rechtsbegehren stellen: 1. Die Verfügung der Beschwerdegegnerin vom</w:t>
      </w:r>
    </w:p>
    <w:p>
      <w:r>
        <w:rPr>
          <w:b/>
        </w:rPr>
        <w:t>E. 5</w:t>
      </w:r>
    </w:p>
    <w:p>
      <w:r>
        <w:t>5.1     Bei diesem Verfahrensausgang steht dem Beschwerdeführer eine ordentliche Parteientschädigung zu, die von der Beschwerdegegnerin zu bezahlen ist. Das teilweise Nichteintreten hat den Verfahrensaufwand praktisch nicht beeinflusst und rechtfertigt daher keine Kürzung. Rechtsanwalt Zenari macht in seiner Honorarnote vom 10. September 2019 (A.S. 30 f.) einen Aufwand von total 8,85 Stunden geltend. Der Aufwand für die Nachbearbeitung von einer Stunde ist mit Blick auf den Ausgang des Verfahrens (Gutheissung) und dessen eng beschränkten Gegenstand auf 15 Minuten zu reduzieren. Der verbleibende Aufwand von 8,1 Stunden kann mit Blick auf den durchgeführten doppelten Schriftenwechsel noch als angemessen gelten. Mit dem geltend gemachten Stundenansatz von CHF 250.00, den Auslagen von CHF 115.80 und der Mehrwertsteuer von 7,7 % resultiert somit eine Parteientschädigung von insgesamt CHF 2'305.65.</w:t>
      </w:r>
    </w:p>
    <w:p>
      <w:r>
        <w:t>5.2     Laut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zu bezahlen. Diese sind angesichts des unterdurchschnittlichen Aufwands, der dem Gericht entstanden ist, auf CHF 400.00 festzusetzen. Dem Beschwerdeführer istder geleistete Kostenvorschuss von CHF 600.00 zurückzuerstatten.</w:t>
      </w:r>
    </w:p>
    <w:p>
      <w:r>
        <w:t>Demnach wirderkannt:</w:t>
      </w:r>
    </w:p>
    <w:p>
      <w:r>
        <w:t>1.Die Beschwerde wird gutgeheissen, soweit darauf einzutreten ist. Die Verfügung der IV-Stelle des Kantons Solothurn vom 5. April 2019 wird aufgehoben.</w:t>
      </w:r>
    </w:p>
    <w:p>
      <w:r>
        <w:t>2.Die IV-Stelle des Kantons Solothurn hat dem Beschwerdeführer eine Parteientschädigung von CHF 2'305.65 (inkl. Auslagen und MwSt) zu bezahlen.</w:t>
      </w:r>
    </w:p>
    <w:p>
      <w:r>
        <w:t>3.Die IV-Stelle des Kantons Solothurn hat die Verfahrenskosten von CHF 400.00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