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VSBES.2019.106 vom 27. März 2019</w:t>
      </w:r>
    </w:p>
    <w:p>
      <w:r>
        <w:t>SO Obergericht, 2019-03-27, DE</w:t>
      </w:r>
    </w:p>
    <w:p>
      <w:r>
        <w:rPr>
          <w:b/>
        </w:rPr>
        <w:t xml:space="preserve">Quelle: </w:t>
      </w:r>
      <w:r>
        <w:t>https://mcp.opencaselaw.ch/entscheid/so_gerichte_VSBES.2019.106</w:t>
      </w:r>
    </w:p>
    <w:p>
      <w:r>
        <w:t>FR: SO_GERICHTE VSBES.2019.106 du 27 mars 2019</w:t>
      </w:r>
    </w:p>
    <w:p>
      <w:r>
        <w:t>IT: SO_GERICHTE VSBES.2019.106 del 27 marzo 2019</w:t>
      </w:r>
    </w:p>
    <w:p>
      <w:pPr>
        <w:pStyle w:val="Heading2"/>
      </w:pPr>
      <w:r>
        <w:t>Erwägungen</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w:t>
      </w:r>
    </w:p>
    <w:p>
      <w:r>
        <w:t>Im Anspruchsjahr 2019 beläuft sich die jährliche Richtprämie für eine erwachsene Person auf CHF 3972.00 sowie für ein Kind auf CHF 936.00 (s. Parameter für die Prämienverbilligung 2019 des DDI vom 10. Januar 2019, fortan: Parameter).</w:t>
      </w:r>
    </w:p>
    <w:p>
      <w:r>
        <w:t>2.4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des Kantons Solothurn VSBES.2014.171 vom 29. September 2015 E. II. 2.2), d.h. für das Anspruchsjahr 2019 ist die Staatssteuerveranlagung pro 2017 massgeblich. Der Regierungsrat regelt die Parameter, den Anteil des steuerbaren Vermögens sowie den Prozentsatz des massgebenden Einkommens (§ 89 Abs. 2 lit. a SG). Anzurechnen sind 20 bis 50 % des satzbestimmenden Vermögens, wobei das DDI den Anteil nach Massgabe der verfügbaren Mittel festlegt (§ 69 Abs. 1 lit. g SV). Im Anspruchsjahr 2019 ist demnach ein Vermögensanteil von 50 % anrechenbar (s. Parameter).</w:t>
      </w:r>
    </w:p>
    <w:p>
      <w:r>
        <w:t>2.5     Anspruch auf Prämienverbilligung hat, wer über ein massgebendes Einkommen von CHF 0.00 bis CHF 84000.00 verfügt. Die prozentualen Eigenanteile werden abhängig von der Höhe dieses Einkommens im Rahmen von 6 bis 12 % linear festgelegt (§ 70 Abs. 1 SV, in der seit 1. Januar 2012 geltenden Fassung); das DDI kann nach Massgabe der verfügbaren Mittel die Grenzwerte des anspruchsberechtigten Einkommens um CHF 12000.00 und die Eigenanteile um vier Prozentpunkte nach oben oder unten verändern (§ 70 Abs. 2 SV, in der seit 1. Januar 2012 geltenden Fassung). Ein Anspruch auf Prämienverbilligung für das Jahr 2019 besteht demnach bei einem massgebenden Einkommen bis maximal CHF 72000.00, wobei die prozentualen Eigenanteile im Rahmen von 10 bis 16 % festgesetzt werden (s. Parameter).</w:t>
      </w:r>
    </w:p>
    <w:p>
      <w:r>
        <w:t>Kindern und jungen Erwachsenen in Ausbildung werden die anrechenbaren Prämien bis zu einem massgebenden Einkommen von CHF 84'000.00 um mindestens 50 % verbilligt. Das DDI kann den Grenzwert des massgebenden Einkommens nach Massgabe der verfügbaren Mittel um CHF 12'000.00 nach oben oder unten verändern (§ 70 Abs. 4 SV). Für das Jahr 2019 liegt der Grenzwert bei CHF 72000.00 (s. Parameter).</w:t>
      </w:r>
    </w:p>
    <w:p>
      <w:r>
        <w:rPr>
          <w:b/>
        </w:rPr>
        <w:t>E. 3</w:t>
      </w:r>
    </w:p>
    <w:p>
      <w:r>
        <w:t>3.1     Der Beschwerdeführer erfüllt für das Jahr 2019 unbestrittenermassen die Anspruchsvoraussetzungen der obligatorischen Krankenpflegeversicherung bei einer anerkannten Krankenkasse (AK-Nr. 1) und des Wohnsitzes im Kanton Solothurn (AK-Nr. 2). Nach seinem Antrag auf Prämienverbilligung vom 7. Januar 2019 ist er seit [] geschieden (AK-Nr. 2). In der massgeblichen Steuerveranlagung pro 2017 wurde ihm kein Abzug für minderjährige oder in beruflicher Ausbildung stehende Kinder gewährt (AK-Nr. 7 Ziff. 24.1). Dem Beschwerdeführer ist daher die Richtprämie von CHF 3972.00 für einen Erwachsenen von anzurechnen, jedoch keine Richtprämien für seine beiden Töchter (s. E. II. 2.2 hiervor). Mangels Steuerabzug kommt auch die 50 %-Verbilligung für Kinder im Sinne von § 70 Abs. 4 SV von vornherein nicht in Frage.</w:t>
      </w:r>
    </w:p>
    <w:p>
      <w:r>
        <w:t>Gemäss der Steuerveranlagung pro 2017 betrug das satzbestimmende Einkommen CHF 41247.00 (AK-Nr. 7 Ziff. 25). Aufzurechnen sind der Steuerabzug für die Liegenschaftskosten (§ 69 Abs. 1 lit. f SV), d.h. CHF 3'267.00 (AK-Nr. 7 Ziff. 6.1), sowie 50 % des satzbestimmenden Vermögens von CHF 43'321.00 (AK-Nr. 7 Ziff. 35), also CHF 21'660.50. Daraus ergibt sich ein korrigiertes Einkommen von CHF 66'174.50, das praxisgemäss auf die nächsttieferen tausend Franken, d.h. CHF 66000.00, abzurunden ist. Die Eigenbeteiligung des Beschwerdeführers von 15,49 % ([CHF 66000 : CHF 72000 x 6 {16 %  10 %}] + 10 [%]) beläuft sich folglich auf CHF 10223.00. Da dies höher ist als die Richtprämie des Beschwerdeführers, besteht für das Jahr 2019 kein Anspruch auf eine ordentliche Prämienverbilligung.</w:t>
      </w:r>
    </w:p>
    <w:p>
      <w:r>
        <w:t>3.2Die Bindung an die letzte rechtskräftige Veranlagung ist nicht absolut. Entsprechen die Steuerwerte offensichtlich nicht der aktuellen wirtschaftlichen Leistungsfähigkeit des Gesuchstellers,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Gemeint sind Ereignisse, welche sich nach der fraglichen Steuerperiode ereignet haben und deshalb in der Steuerveranlagung nicht berücksichtigt worden sind (s. n. publ. Urteil des Versicherungsgerichts des Kantons Solothurn VSBES.2006.238 vom 8. Dezember 2006 E. II. 2c).Die Bestimmungen über den betreibungsrechtlichen Notbedarf sind sinngemäss anwendbar (§ 71 Abs. 4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Der Beschwerdeführer bringt in seiner Einsprache und seiner Beschwerdeschrift vor, das steuerbare Einkommen aus seinem Betrieb sei 2018 gegenüber dem Steuerjahr 2017 um rund 36 % zurückgegangen. Die Auslastung im Jahr 2019 liege nur noch bei 50 bis 60 % (AK-Nr. 4 / A.S 6). Der Beschwerdeführer spricht mit anderen Worten von einem geschäftlichen Rückschlag, den er seit dem Steuerjahr erlitten hat, welches für die ordentliche Prämienverbilligung pro 2019 massgeblich ist. Vor diesem Hintergrund könnte 2019 durchaus ein Härtefall im Sinne von Sozialverordnung und Reglement vorliegen sein. Damit hat sich die Beschwerdegegnerin im angefochtenen Einspracheentscheid nicht befasst, obwohl dies angesichts der Argumentation des Beschwerdeführers geboten gewesen wäre. Da die Akten keine abschliessende Beurteilung der Härtefallfrage erlauben, ist die Angelegenheit zwecks Sachverhaltsergänzung zurück an die Beschwerdegegnerin zu weisen.</w:t>
      </w:r>
    </w:p>
    <w:p>
      <w:r>
        <w:t>3.3     Zusammenfassend wird die Beschwerde in dem Sinne teilweise gutgeheissen, als der angefochtene Einspracheentscheid aufgehoben wird und die Angelegenheit zurück an die Beschwerdegegnerin geht. Diese hat die erforderlichen Abklärungen vorzunehmen und sodann über den Anspruch des Beschwerdeführers auf eine Prämienverbilligung im Härtefall für das Jahr 2019 zu befinden. Im Übrigen wird die Beschwerde abgewiesen.</w:t>
      </w:r>
    </w:p>
    <w:p>
      <w:r>
        <w:t>4.       In Beschwerdesachen über Prämienverbilligungen werden keine Verfahrenskosten erhoben (§ 7 Abs. 1 Kantonale Verordnung über das Verfahren vor dem Versicherungsgericht und über die Organisation und das Verfahren der Schiedsgerichte in den Sozialversicherungen, BGS 125.922).</w:t>
      </w:r>
    </w:p>
    <w:p>
      <w:r>
        <w:t>Demnach wirderkannt:</w:t>
      </w:r>
    </w:p>
    <w:p>
      <w:r>
        <w:t>1.Die Beschwerde wird in dem Sinne gutgeheissen, als der Einspracheentscheid der Ausgleichskasse des Kantons Solothurn vom 27. März 2019 aufgehoben und die Angelegenheit zurück an die Beschwerdegegnerin gewiesen wird, damit diese im Sinne der Erwägungen verfährt. Im Übrigen wird die Beschwerde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3.2</w:t>
      </w:r>
    </w:p>
    <w:p>
      <w:r>
        <w:t>Die Bindung an die letzte rechtskräftige Veranlagung ist nicht absolut. Entsprechen die Steuerwerte offensichtlich nicht der aktuellen wirtschaftlichen Leistungsfähigkeit des Gesuchstellers, so ist auf diese abzustellen (§ 90 Abs.</w:t>
      </w:r>
    </w:p>
    <w:p>
      <w:r>
        <w:rPr>
          <w:b/>
        </w:rPr>
        <w:t>E. 4</w:t>
      </w:r>
    </w:p>
    <w:p>
      <w:r>
        <w:t>Abs. 1 Reglement). Der Bedarf wird nach den geltenden Richtlinien der Aufsichtsbehörde für Schuldbetreibung und Konkurs für die Berechnung des betreibungsrechtlichen Existenzminimums nach Artikel 93 SchKG (fortan: Richtlinien) ermittelt, wobei sich der dortige Grundbetrag um 10 %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 Der Beschwerdeführer bringt in seiner Einsprache und seiner Beschwerdeschrift vor, das steuerbare Einkommen aus seinem Betrieb sei 2018 gegenüber dem Steuerjahr 2017 um rund 36 % zurückgegangen. Die Auslastung im Jahr 2019 liege nur noch bei 50 bis 60 % (AK-Nr. 4 / A.S 6). Der Beschwerdeführer spricht mit anderen Worten von einem geschäftlichen Rückschlag, den er seit dem Steuerjahr erlitten hat, welches für die ordentliche Prämienverbilligung pro 2019 massgeblich ist. Vor diesem Hintergrund könnte 2019 durchaus ein Härtefall im Sinne von Sozialverordnung und Reglement vorliegen sein. Damit hat sich die Beschwerdegegnerin im angefochtenen Einspracheentscheid nicht befasst, obwohl dies angesichts der Argumentation des Beschwerdeführers geboten gewesen wäre. Da die Akten keine abschliessende Beurteilung der Härtefallfrage erlauben, ist die Angelegenheit zwecks Sachverhaltsergänzung zurück an die Beschwerdegegnerin zu weisen. 3.3     Zusammenfassend wird die Beschwerde in dem Sinne teilweise gutgeheissen, als der angefochtene Einspracheentscheid aufgehoben wird und die Angelegenheit zurück an die Beschwerdegegnerin geht. Diese hat die erforderlichen Abklärungen vorzunehmen und sodann über den Anspruch des Beschwerdeführers auf eine Prämienverbilligung im Härtefall für das Jahr 2019 zu befinden. Im Übrigen wird die Beschwerde abgewiesen. 4.       In Beschwerdesachen über Prämienverbilligungen werden keine Verfahrenskosten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