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VSBES.2017.135 vom 19. April 2017</w:t>
      </w:r>
    </w:p>
    <w:p>
      <w:r>
        <w:t>SO Obergericht, 2017-04-19, DE</w:t>
      </w:r>
    </w:p>
    <w:p>
      <w:r>
        <w:rPr>
          <w:b/>
        </w:rPr>
        <w:t xml:space="preserve">Quelle: </w:t>
      </w:r>
      <w:r>
        <w:t>https://mcp.opencaselaw.ch/entscheid/so_gerichte_VSBES.2017.135</w:t>
      </w:r>
    </w:p>
    <w:p>
      <w:r>
        <w:t>FR: SO_GERICHTE VSBES.2017.135 du 19 avril 2017</w:t>
      </w:r>
    </w:p>
    <w:p>
      <w:r>
        <w:t>IT: SO_GERICHTE VSBES.2017.135 del 19 aprile 2017</w:t>
      </w:r>
    </w:p>
    <w:p>
      <w:pPr>
        <w:pStyle w:val="Heading2"/>
      </w:pPr>
      <w:r>
        <w:t>Erwägungen</w:t>
      </w:r>
    </w:p>
    <w:p>
      <w:r>
        <w:rPr>
          <w:b/>
        </w:rPr>
        <w:t>E. 2</w:t>
      </w:r>
    </w:p>
    <w:p>
      <w:r>
        <w:t>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w:t>
      </w:r>
    </w:p>
    <w:p>
      <w:r>
        <w:t>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2.3     Der Kanton Solothurn hat von dieser Möglichkeit, eine Liste betreffend Leistungssperren zu führen, in § 64bisdes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64bisAbs.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w:t>
      </w:r>
    </w:p>
    <w:p>
      <w:r>
        <w:rPr>
          <w:b/>
        </w:rPr>
        <w:t>E. 3</w:t>
      </w:r>
    </w:p>
    <w:p>
      <w:r>
        <w:t>3.1     Wie sich der Debatte im National- und Ständerat entnehmen lässt, sollte den Kantonen mit Art. 64a Abs.</w:t>
      </w:r>
    </w:p>
    <w:p>
      <w:r>
        <w:rPr>
          <w:b/>
        </w:rPr>
        <w:t>E. 7</w:t>
      </w:r>
    </w:p>
    <w:p>
      <w:r>
        <w:t>(damals noch Abs. 6bis)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64bisSG und insbesondere nach Abs. 2 dieser Bestimmung.</w:t>
      </w:r>
    </w:p>
    <w:p>
      <w:r>
        <w:t>Die Auslegung einer Gesetzesbestimmung hat von deren Wortlaut auszugehen. § 64bisAbs.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w:t>
      </w:r>
    </w:p>
    <w:p>
      <w:r>
        <w:t>Bei der Einführung und Formulierung von § 64bisAbs.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w:t>
      </w:r>
    </w:p>
    <w:p>
      <w:r>
        <w:t>3.2     Wie im Einspracheentscheid festgehalten wird,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wie im vorliegenden Fall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w:t>
      </w:r>
    </w:p>
    <w:p>
      <w:r>
        <w:t>4.       Wie den Akten zu entnehmen ist, besteht neben den Verlustscheinen wegen nicht bezahlter Prämien und Kostenbeteiligungen der B.___ auch eine aktuelle Betreibung vom 22. März 2017 der B.___ über einen Betrag von CHF 1038.55. Zudem führt der Beschwerdegegner im Einspracheentscheid aus, der Beschwerdeführer habe im Jahr 2016 weiterhin keine Prämienzahlungen getätigt. Der Beschwerdeführer bestreitet die vom Beschwerdegegner angeführten Prämienschulden denn auch nicht, weshalb von deren Bestand auszugehen ist. Zu prüfen ist demnach, ob der Beschwerdeführer den «Entlastungsbeweis» im Sinne der vorstehenden Erwägung zu führen vermag.</w:t>
      </w:r>
    </w:p>
    <w:p>
      <w:r>
        <w:t>4.1     Der Beschwerdeführer bringt in seiner Beschwerde lediglich vor, er sei mit dem Entscheid betreffend Leistungssperre nicht einverstanden. Er wolle niemandem zur Last fallen. Sein Geld reiche für Kommunikationsmittel, Fahrzeug sowie Essen.</w:t>
      </w:r>
    </w:p>
    <w:p>
      <w:r>
        <w:t>4.2     Mit diesen Ausführungen vermag der Beschwerdeführer nicht nachzuweisen, dass die Prämienausstände in einer besonderen Situation entstanden sind, welche Zahlungsschwierigkeiten als nachvollziehbar erscheinen lassen, zumal er offenbar weder die aktuellen Prämien bezahlt noch versucht, die Ausstände abzutragen. Er vermag denn auch nicht aufzuzeigen, weshalb es ihm nicht möglich sein sollte, die Prämien zu begleichen, zumal sich der Beschwerdeführer, wie vom Beschwerdegegner dargelegt, trotz der finanziell schwierigen Lage offenbar nicht um eine individuelle Prämienverbilligung oder Sozialhilfebezug bemüht. Unter diesem Aspekt lässt sich die Leistungssperre daher nicht beanstanden.</w:t>
      </w:r>
    </w:p>
    <w:p>
      <w:r>
        <w:t>Die Beschwerde ist abzuweisen.</w:t>
      </w:r>
    </w:p>
    <w:p>
      <w:r>
        <w:t>5.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