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VSBES.2016.29 vom 19. Dezember 2016</w:t>
      </w:r>
    </w:p>
    <w:p>
      <w:r>
        <w:t>SO Obergericht, 2016-12-19, DE</w:t>
      </w:r>
    </w:p>
    <w:p>
      <w:r>
        <w:rPr>
          <w:b/>
        </w:rPr>
        <w:t xml:space="preserve">Quelle: </w:t>
      </w:r>
      <w:r>
        <w:t>https://mcp.opencaselaw.ch/entscheid/so_gerichte_VSBES.2016.29</w:t>
      </w:r>
    </w:p>
    <w:p>
      <w:r>
        <w:t>FR: SO_GERICHTE VSBES.2016.29 du 19 décembre 2016</w:t>
      </w:r>
    </w:p>
    <w:p>
      <w:r>
        <w:t>IT: SO_GERICHTE VSBES.2016.29 del 19 dicembre 2016</w:t>
      </w:r>
    </w:p>
    <w:p>
      <w:pPr>
        <w:pStyle w:val="Heading2"/>
      </w:pPr>
      <w:r>
        <w:t>Regeste</w:t>
      </w:r>
    </w:p>
    <w:p>
      <w:r>
        <w:t>Art. 25 Abs. 1 ATSG, Art. 2 Abs. 1 ATSV, Art. 10 Abs. 3 lit. d ELG. Die Rückforderung der Prämienpauschale kann entgegen der Wegleitung des Bundesamtes für Sozialversicherungen über die Ergänzungsleistungen zur AHV und IV (WEL) erlassen werden</w:t>
      </w:r>
    </w:p>
    <w:p>
      <w:pPr>
        <w:pStyle w:val="Heading2"/>
      </w:pPr>
      <w:r>
        <w:t>Volltext</w:t>
      </w:r>
    </w:p>
    <w:p>
      <w:r>
        <w:t>SOG 2016 Nr. 26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