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VSBES.2016.184 vom 31. Mai 2016</w:t>
      </w:r>
    </w:p>
    <w:p>
      <w:r>
        <w:t>SO Obergericht, 2016-05-31, DE</w:t>
      </w:r>
    </w:p>
    <w:p>
      <w:r>
        <w:rPr>
          <w:b/>
        </w:rPr>
        <w:t xml:space="preserve">Quelle: </w:t>
      </w:r>
      <w:r>
        <w:t>https://mcp.opencaselaw.ch/entscheid/so_gerichte_VSBES.2016.184</w:t>
      </w:r>
    </w:p>
    <w:p>
      <w:r>
        <w:t>FR: SO_GERICHTE VSBES.2016.184 du 31 mai 2016</w:t>
      </w:r>
    </w:p>
    <w:p>
      <w:r>
        <w:t>IT: SO_GERICHTE VSBES.2016.184 del 31 maggio 2016</w:t>
      </w:r>
    </w:p>
    <w:p>
      <w:pPr>
        <w:pStyle w:val="Heading2"/>
      </w:pPr>
      <w:r>
        <w:t>Erwägungen</w:t>
      </w:r>
    </w:p>
    <w:p>
      <w:r>
        <w:rPr>
          <w:b/>
        </w:rPr>
        <w:t>E. 1</w:t>
      </w:r>
    </w:p>
    <w:p>
      <w:r>
        <w:t>Ziffer 1 der Verfügung der Beschwerdegegnerin vom 31. Mai 2016 sei aufzuheben.</w:t>
      </w:r>
    </w:p>
    <w:p>
      <w:r>
        <w:rPr>
          <w:b/>
        </w:rPr>
        <w:t>E. 2</w:t>
      </w:r>
    </w:p>
    <w:p>
      <w:r>
        <w:t>Als Gutachter sei Herr Dr. med. I.___, [...], einzusetzen.</w:t>
      </w:r>
    </w:p>
    <w:p>
      <w:r>
        <w:rPr>
          <w:b/>
        </w:rPr>
        <w:t>E. 3</w:t>
      </w:r>
    </w:p>
    <w:p>
      <w:r>
        <w:t>Es sei der Beschwerdeführerin die unentgeltliche Rechtspflege unter Beiordnung der unterzeichnenden Rechtsanwältin als unentgeltliche Rechtsbeiständin zu gewähren.</w:t>
      </w:r>
    </w:p>
    <w:p>
      <w:r>
        <w:rPr>
          <w:b/>
        </w:rPr>
        <w:t>E. 4</w:t>
      </w:r>
    </w:p>
    <w:p>
      <w:r>
        <w:t>Unter Kosten- und Entschädigungsfolgen. 3.       Die Beschwerdegegnerin verzichtet mit Eingabe vom 29. September 2016 (A.S. 21 f.) auf eine Beschwerdeantwort und schliesst auf Abweisung der Beschwerde. Zudem reicht sie den Protokolleintrag vom 27. September 2016 ein. 4.       Die Vertreterin der Beschwerdeführerin reicht am 18. Oktober 2016 ihre Kostennote ein (A.S. 24 ff.), die mit Verfügung vom 20. Oktober 2016 (A.S. 27) zur Kenntnisnahme an die Beschwerdegegnerin geht. 5.       Mit Verfügung vom 21. November 2016 (A.S. 36) stellt die Vizepräsidentin des Versicherungsgerichts fest, die mit Verfügung vom 3. November 2016 (A.S. 28 f.) einverlangten Unterlagen betreffend die beantragte unentgeltliche Rechtspflege seien fristgerecht eingereicht worden. Der Beschwerdeführerin wird im vorliegenden Verfahren ab Prozessbeginn die unentgeltliche Rechtspflege bewilligt und Rechtsanwältin Ida Salvetti, Solothurn, als unentgeltliche Rechtsbeiständin bestellt. 6.       Auf die Ausführungen der Parteien in ihren Rechtsschriften wird nachfolgend, soweit erforderlich, eingegangen. Im Übrigen wird auf die Akten verwiesen. II. 1.       Die Beurteilung von Beschwerden gegen eine Zwischenverfügung fällt gemäss § 54 bis Abs. 1 lit. a bis Kantonales Gesetz über die Gerichtsorganisation (GO, BGS 125.12) in die Präsidialkompetenz. Diese Bestimmung ist am 1. März 2015 in Kraft getreten und damit im vorliegenden Fall, wo die angefochtene Verfügung am 31. Mai 2016 erging, anwendbar. Die Vizepräsidentin des Versicherungsgerichts (als Stellvertreterin des Präsidenten) ist folglich für den Entscheid in vorliegender Angelegenheit als Einzelrichterin zuständig. 2.       Die Beschwerdeführerin verlangt, es sei eine Parteibefragung durchzuführen (vgl. A.S. 7). Ein sachlicher Anlass, eine Parteibefragung durchzuführen, ist indes nicht ersichtlich. Dieses Beweismittel wird in der Beschwerde angerufen, ohne dass aber dargelegt wird, welchen Beweis es zu erbringen vermöchte. Nach den Vorbringen in der Beschwerde steht die Ablehnung von Dr. med. D.___ als Gutachterperson im Vordergrund. Eine Parteibefragung erscheint daher weder notwendig noch sachdienlich, da von einer solchen keine relevanten Erkenntnisse zu erwarten sind. 3.       Nach der neuen Rechtsprechung ist die Anordnung eines Administrativgut-achtens nunmehr (bei fehlendem Konsens) in die Form eines Zwischenentscheids zu kleiden (BGE 141 V 330 E. 3.2, 137 V 210 E. 3.4.2.6 S. 256), welcher seinerseits beim kantonalen Gericht anfechtbar ist (E. 3.4.2.7 S. 256 f.; vgl. auch BGE 139 V 349 E. 5.1). Auf die vorliegende Beschwerde gegen die Verfügung vom 31. Mai 2016, mit der die Beschwerdegegnerin an der Notwendigkeit der medizinischen Abklärung durch Dr. med. D.___ festhält und den Fragenkatalog im Sinne ihrer Erwägungen anpasst, ist daher einzutreten, zumal auch die übrigen Voraussetzungen (Einhaltung von Frist und Form, örtliche und sachliche Zuständigkeit des angerufenen Gerichts) erfüllt sind. 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5.       Im vorliegenden Fall anerkennt die Beschwerdeführerin sowohl die Notwendigkeit einer erneuten psychiatrischen Begutachtung als auch den mit angefochtener Verfügung vom 31. Mai 2016 angepassten Fragenkatalog. Streitig ist demgegenüber einzig der für das Gutachten vorgeschlagene Experte Dr. med. D.___ (vgl. dazu E. I. 2 Ziff. 1 und 2 hiervor).</w:t>
      </w:r>
    </w:p>
    <w:p>
      <w:r>
        <w:rPr>
          <w:b/>
        </w:rPr>
        <w:t>E. 6</w:t>
      </w:r>
    </w:p>
    <w:p>
      <w:r>
        <w:t>6.1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6.2     Wird anstelle eines polydisziplinären (MEDAS-)Gutachtens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6.3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 6.4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Dies trifft im vorliegenden Fall indes nicht zu: So lässt die Beschwerdeführerin zum einen vorbringen, sie habe sich anlässlich der ersten Begutachtung vom 5. April 2008 (IV-Nr. 40.1) durch die Fragen zu ihrem Intimleben sehr verunsichert und beschämt gefühlt. Das bestimmte und bestimmende Auftreten des Gutachters habe zusätzlich zu einer Verunsicherung und dem Eindruck der Beschwerdeführerin geführt, sie werde nicht ernst genommen (A.S. 7). Da die Beschwerdeführerin nicht konkret darzulegen vermag, um welche «Fragen zum Intimleben» es sich dabei gehandelt habe, ist davon auszugehen, dass diese Bestandteil der Exploration oder der Anamnese bildeten, bei der auch die subjektiven Angaben der Beschwerdeführerin miteingeflossen sind (vgl. IV-Nr. 40.1 S. 5 ff.). Da die Exploration bzw. die Anamnese für den Beweiswertes eines Arztberichtes bzw. eines Gutachtens (BGE 125 V 351 E. 3a S. 351) wesentlich sind, ist nicht zu beanstanden, dass Dr. med. D.___ solche durchgeführt bzw. entsprechende Angaben der Beschwerdeführerin eingeholt hat. Es finden sich im Gutachten keine Hinweise auf unsachgemässe oder zu intime Fragestellungen. Diesbezüglich kann darauf hingewiesen werden, dass die Beschwerdeführerin weder nach dem Verfassen des psychiatrischen Gutachtens vom April 2008 noch nach der Kenntnisnahme des Vorbescheids der Beschwerdegegnerin vom 6. Mai 2008 (IV-Nr. 43) solche oder ähnliche Beanstandungen gemacht hat. Jedenfalls sind solche in den vorliegenden Akten nicht dokumentiert. Dies gilt im Übrigen auch in Bezug auf das oben beschriebene «bestimmte und bestimmende Auftreten» des Gutachters. So wurde auch dieses von der Beschwerdeführerin nicht unmittelbar nach der Durchführung des Gutachtens beanstandet, sondern wird erst jetzt, ungefähr sieben Jahre später, thematisiert. Es kommt hinzu, dass gemäss den Qualitätsleitlinien für psychiatrische Gutachten in der Eidgenössischen Invalidenversicherung der Schweizerischen Gesellschaft für Psychiatrie und Psychotherapie SGPP vom Februar 2012 (http://www.ivsk.ch/mm/Qualitaetsleitlinien-fuer-psychiatrische-Gutachten.pdf, besucht am 23. November 2016) in Bezug auf die gutachterliche Untersuchung festgehalten wird, dass der Gutachter den Exploranden persönlich zu untersuchen und dabei unter anderem eine systematische, psychiatrische und somatische Anamnese inklusive Konsum psychotroper Substanzen, evtl. Sexualität etc., zu erfragen hat (vgl. Ziff. 3.2.2). Folglich können solche Angaben der begutachtenden Person im Rahmen der gutachterlichen psychiatrischen Tätigkeit hilfreich oder weiterführend sein. Dem psychiatrischen Gutachten vom April 2008 sind jedoch weder entsprechende Fragestellungen durch Dr. med. D.___ noch entsprechende Angaben der Beschwerdeführerin zu entnehmen. Es kann somit auch nicht von einer Überschreitung der Rahmenbedingungen einer gutachterlichen Abklärung gesprochen werden. Daher laufen diese Vorbringen ins Leere. Bei dem in diesem Zusammenhang durch die Beschwerdeführerin zudem geltend gemachten äusserst negativen Empfinden (A.S. 7) handelt es sich daher um einen rein subjektiven Eindruck der Beschwerdeführerin, der aufgrund der vorangegangenen Ausführungen als unbehelflich zu qualifizieren ist. Die Beschwerdeführerin stellt sich ferner auf den Standpunkt, der Gutachter habe sich im Rahmen des Erstgutachtens bei der Wertung psychopathologischer und medizinisch-theoretisch relevanter Phänomene offenbar auch auf Inputs der jeweiligen Dolmetscherin gestützt (A.S. 8). So habe er in seinem damaligen Gutachten ausgeführt, die Dolmetscherin sei mit dem heimatlichen Kulturraum der versicherten Person vertraut und könne daher wertvolle Aspekte beitragen. Es gehe nicht an, dass sich ein Gutachter auch auf Aussagen der von ihm beigezogenen Dolmetscherin stütze und diese zumindest nach seinen Angaben teilweise in seine Begutachtung miteinfliessen lasse. Dieses Vorbringen vermag nicht zu überzeugen. So ist zum einen nicht ersichtlich und wird durch die Beschwerdeführerin auch nicht dargelegt, inwiefern der Beizug der Dolmetscherin im Erstgutachten von 2008 auf das in Aussicht genommene und noch durchzuführende psychiatrische Gutachten einen Einfluss haben soll. Zum anderen hat die Beschwerdeführerin unmittelbar nach dem Verfassen des Gutachtens vom April 2008 keine diesbezüglichen Bedenken oder Vorbehalte geäussert. Solche finden sich jedenfalls in der sich vorliegend präsentierenden Aktenlage nicht. Gestützt auf die Qualitätsleitlinien für psychiatrische Gutachten in der Eidgenössischen Invalidenversicherung vom Februar 2012 (s. oben) sind im Rahmen eines Gutachtens durchaus Angaben zur sprachlichen Verständigung – Angaben zur Muttersprache des Exploranden, zum aktiven und passiven Beherrschen der Landessprache, Angaben, in welcher Sprache die Exploration durchgeführt wurde, Notwendigkeit eines Dolmetschers, ggf. Interaktionen mit Dolmetscher – zu machen (Ziff. 4.2). Es ist somit nicht zu beanstanden, dass Dr. med. D.___ anlässlich seines Gutachtens im Jahre 2008 festhielt, die aufgrund der sprachlichen Schwierigkeiten der Beschwerdeführerin beigezogene Dolmetscherin sei mit dem heimatlichen Kulturraum der Beschwerdeführerin vertraut und könne deshalb wertvolle Aspekte zur Wertung psychopathologischer und medizinisch-theoretisch relevanter Phänomene durch ihn beitragen. Aus dieser Formulierung erhellt denn auch, dass Dr. med. D.___ die Aussagen der Dolmetscherin im Anschluss gewertet hat. Es kann somit – entgegen der Ansicht der Beschwerdeführerin – nicht davon ausgegangen werden, dass sich Dr. med. D.___ 2008 ohne weiteres auf die Aussagen der Dolmetscherin gestützt hat. Unter Hinweis auf E. II. 4 hiervor kann überdies festgehalten werden, dass das weitere Argument der Beschwerdeführerin, wonach die Abgeltung der Gutachten aus Mitteln der IV-Stelle zu einer Befangenheit des Experten führe, nicht gehört werden kann. So schafft der regelmässige Beizug eines Experten, die Anzahl der beim selben Arzt in Auftrag gegebenen Gutachten und Berichte sowie das daraus resultierende Honorarvolumen für sich allein genommen keine als Ausstandsgrund zu qualifizierende Abhängigkeit von den IV-Stellen (BGE 137 V 210 E. 1.3.3 S. 226 f. mit Hinweisen; vgl. Urteil des Bundesgerichts 9C_793/2015 vom 19. August 2016 E. 4.2). Auf das entsprechende Vorbringen der Beschwerdeführerin (A.S. 8) ist somit nicht näher einzugehen. Ähnliches gilt sodann auch in Bezug auf den weiteren Antrag der Beschwerdeführerin, wonach die Beschwerdegegnerin offenzulegen habe, in wie vielen Fällen das Gutachten von Dr. med. D.___ für die versicherten Personen negativ ausgefallen sei (A.S. 8). Entsprechende Angaben wären höchstens dann aussagekräftig, wenn man mit grossem Aufwand sämtliche Gutachter und Gutachterinnen in der Schweiz zu den attestierten Arbeitsunfähigkeiten befragen würde. Nur dann liesse sich mit Sicherheit sagen, ob Dr. med. D.___ bei der Beurteilung der Arbeitsfähigkeit wirklich deutlich von anderen Gutachtern abweicht. Selbst wenn dies zutreffen sollte, liessen sich daraus nicht Folgerungen für die Beweiskraft einzelner Gutachten ziehen, überdies müssten andere Faktoren, welche die Häufigkeitsverteilung beeinflussen könnten, ausgeschieden werden, wozu dem Gericht die Fachkompetenz fehlt. Von den beantragten Auskünften ist daher mangels Relevanz abzusehen. Dies unter anderem auch deshalb, weil das Bundesgericht in seinem Urteil 8C_599/2014 vom 18. Dezember 2015 E. 6.5 f. nicht vorsieht, dass zwingend Statistiken einzuholen sind. 6.5     Es kann zusammenfassend festgehalten werden, dass die Beschwerdegegnerin zu Recht an der Verlaufsbegutachtung durch Dr. med. D.___ festgehalten hat. Da es sich bei den Vorbringen der Beschwerdeführerin nicht um zulässige Einwendungen gemäss BGE 139 V 349 E. 5.2.2.3 handelt (Urteil des Bundesgerichts 8C_512/2013 vom 13. Januar 2014 E. 3.4; vgl. oben), war die Beschwerdegegnerin folglich auch nicht gehalten, bei der Gutachtenseinholung bzw. der Auswahl des entsprechenden Gutachters ein einvernehmliches Vorgehen anzustreben. Die durch die Beschwerdeführerin gegen Dr. med. D.___ geltend gemachten Vorbringen laufen entweder ins Leere oder wurden nicht substanziiert begründet, weshalb insbesondere die persönlichen Vorbehalte der Beschwerdeführerin nicht durchzudringen vermögen. Das Festhalten an Dr. med. D.___ wird im Wesentlich auch aufgrund des Umstandes gerechtfertigt, wonach es sachgerecht ist und den Aufschlusswert einer Verlaufsbegutachtung erhöhen kann, wenn die seitherige gesundheitliche Entwicklung von den mit dem Fall schon Vertrauten medizinischen Vorgutachtern abgeklärt und beurteilt wird (Urteil des Bundesgerichts 9C_1032/2010 vom 1. September 2011 E. 4.1). Da sich Dr. med. D.___ bereits anlässlich des Gutachtens vom April 2008 mit der Beschwerdeführerin befasst hat ist demnach nicht zu beanstanden, dass er sich auch im Rahmen des noch durchzuführenden Gutachtens mit der Beschwerdeführerin erneut auseinandersetzen wird. 6.6     Es ist demnach nicht zu beanstanden, dass die Beschwerdegegnerin mit Verfügung vom 31. Mai 2016 an den bereits mit Mitteilung vom 23. Februar 2016 (IV-Nr. 67) vorgeschlagenen Sachverständigenden Dr. med. D.___ weiter festhält. Die Beschwerde stellt sich damit als unbegründet heraus und wird abgewiesen. 7.       Bei diesem Verfahrensausgang besteht kein Anspruch auf eine Parteientschädigung. 8.       Die Beschwerdeführerin steht ab Prozessbeginn im Genuss der unentgeltlichen Rechtspflege (vgl. E. I. 5 hiervor). Da sie unterlegen ist, entschädigt der Kanton ihre unentgeltliche Rechtsbeiständin angemessen (Art. 122 Abs. 1 lit. a Schweizerische Zivilprozessordnung [ZPO, SR 272]). 8.1     Die Rechtsvertreterin der Beschwerdeführerin hat am 18. Oktober 2016 (A.S. 24 ff.) eine Kostennote eingereicht. Sie macht damit einen Kostenersatz von insgesamt CHF 1'253.90 geltend – basierend auf einem zeitlichen Aufwand von 6,20 Stunden. Darin ist ein Kanzleiaufwand für einen Klientenbrief vom 3. Juni 2016 von 0,20 Stunden enthalten, der im Stundenansatz bereits inbegriffen und daher nicht gesondert zu entschädigen ist. Unter Abzug von 0,20 Stunden beträgt der Aufwand noch total 6 Stunden. In Anbetracht der Tatsache, wonach die Vertreterin der Beschwerdeführerin nach Einreichen der Kostennote am 18. Oktober 2016 noch ein aktuelles Gesuch um unentgeltliche Rechtspflege mit den entsprechenden Belege einzureichen hatte (vgl. E. I. 5 hiervor) und hierfür ein Aufwand von 0,20 Stunden als angemessen erscheint, ist der Aufwand bei total 6,20 Stunden festzusetzen. Der Stundenansatz beträgt aufgrund des Kreisschreibens Nr. 1 der Gerichtsverwaltungskommission des Kantons Solothurn vom 8. März 2016, in Kraft seit 15. Juli 2016, bzw. § 160 Abs. 3 i.V.m. § 161 Gebührentarif [GebT, BGS 615.11]) CHF 180.00. Damit beträgt die Entschädigung CHF 1'116.00 (6,20 Stunden à CHF 180.00). Was die geltend gemachten Auslagen von CHF 45.00 anbelangt, so sind die 31 Kopien pro Stück nur mit CHF 0.50 zu vergüten (§ 160 Abs. 5 GebT) und nicht mit CHF 1.00, wie in der Kostennote geltend gemacht. Die Auslagen reduzieren sich so um CHF 15.50 auf CHF 29.50. Somit beläuft sich die Kostenforderung der Rechtsbeiständin unter Einbezug der MwSt von 8 % (CHF 91.65) auf total CHF 1'237.15, die durch die Zentrale Gerichtskasse des Kantons Solothurn zu bezahlen ist. Vorbehalten bleibt der Rückforderungsanspruch des Staates während 10 Jahren, wenn A.___, [...], [...], zur Nachzahlung in der Lage ist (Art. 123 ZPO). 8.2     Vorbehalten bleibt auch der Nachzahlungsanspruch der unentgeltlichen Rechtsbeiständin im Umfang von gerundet CHF 334.80 (Differenz zum vollen Honorar von CHF 1'237.15), wenn die Beschwerdeführerin zur Nachzahlung in der Lage ist (Art. 123 ZPO). Zum Nachzahlungsanspruch der unentgeltlichen Rechtsbeiständin ist anzufügen, dass hier lediglich von CHF 230.00 (vgl. § 160 Abs. 2 GebT) auszugehen ist, wenn – wie hier – keine Honorarvereinbarung mit dem Klienten vorgelegt wird, die einen höheren Ansatz vorsieht. 9.       Da es vorliegend nicht um die Bewilligung oder Verweigerung von Leistungen der Invalidenversicherung geht, ist das Beschwerdeverfahren – in Abweichung von Art. 69 Abs. 1 bis Bundesgesetz über die Invalidenversicherung (IVG, SR 831.20) – kostenlos (Art. 61 lit. a Bundesgesetz über den Allgemeinen Teil des Sozialversicherungsrechts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