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VSBES.2013.351 vom 20. November 2013</w:t>
      </w:r>
    </w:p>
    <w:p>
      <w:r>
        <w:t>SO Obergericht, 2013-11-20, DE</w:t>
      </w:r>
    </w:p>
    <w:p>
      <w:r>
        <w:rPr>
          <w:b/>
        </w:rPr>
        <w:t xml:space="preserve">Quelle: </w:t>
      </w:r>
      <w:r>
        <w:t>https://mcp.opencaselaw.ch/entscheid/so_gerichte_VSBES.2013.351_d20131120</w:t>
      </w:r>
    </w:p>
    <w:p>
      <w:r>
        <w:t>FR: SO_GERICHTE VSBES.2013.351 du 20 novembre 2013</w:t>
      </w:r>
    </w:p>
    <w:p>
      <w:r>
        <w:t>IT: SO_GERICHTE VSBES.2013.351 del 20 novembre 2013</w:t>
      </w:r>
    </w:p>
    <w:p>
      <w:pPr>
        <w:pStyle w:val="Heading2"/>
      </w:pPr>
      <w:r>
        <w:t>Regeste</w:t>
      </w:r>
    </w:p>
    <w:p>
      <w:r>
        <w:t>Einspracheentscheid vom 20. November 2013 - Prämienverbilligung kantonal</w:t>
      </w:r>
    </w:p>
    <w:p>
      <w:pPr>
        <w:pStyle w:val="Heading2"/>
      </w:pPr>
      <w:r>
        <w:t>Erwägungen</w:t>
      </w:r>
    </w:p>
    <w:p>
      <w:r>
        <w:rPr>
          <w:b/>
        </w:rPr>
        <w:t>E. 7</w:t>
      </w:r>
    </w:p>
    <w:p>
      <w:r>
        <w:t>dieses Vertrags ist der Prämienverbilligungsbetrag, der infolge des Todes der versicherten Person nicht an die Prämienforderung angerechnet bzw. nicht ausbezahlt werden konnte, der Ausgleichskasse zu überweisen. Diese Formulierung lässt sich zwanglos mit der hier vorgenommenen Auslegung von § 74 SV in Einklang bringen, wonach es darauf ankommt, inwieweit der Versicherte bis zu seinem Tod von tieferen Prämien profitiert hat. Eine direkte Anwendung der bundesrechtlichen Bestimmung von Art. 2 Abs. 1 lit. b Verordnung über den Allgemeinen Teil des Sozialversicherungsrechts (ATSV, SR 830.11) als Rechtsgrundlage der Rückforderung gegenüber Dritten, wie es die Ausgleichskasse getan hat, erübrigt sich folglich; sie käme mangels Verweis im kantonalen Recht ohnehin nicht in Frage. Immerhin kann diese Norm als Ausdruck eines allgemeinen sozialversicherungsrechtlichen Rechtsgrundsatzes gelten, der den Standpunkt der Ausgleichskasse zusätzlich stützt. 3.2 Die Krankenkasse macht weiter geltend, die Ausgleichskasse verstosse gegen Treu und Glauben, nachdem sie bislang nie entsprechende Rückforderungen gestellt habe. Ob diese – bestrittene – Behauptung zutrifft, kann indes offen bleiben. Eine unzulässige Praxisänderung liegt jedenfalls nicht vor. Es ist der Verwaltung vielmehr jederzeit gestattet, auf ihre gesetzlichen Möglichkeiten zurückzukommen und von diesen inskünftig vermehrt Gebrauch zu machen (vgl. BGE 111 V 368 E. 6a). Versicherungsgericht, Urteil vom 12. Dezember 2014 (VSBES.2013.351)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