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VSBES.2013.225 vom 20. Juni 2013</w:t>
      </w:r>
    </w:p>
    <w:p>
      <w:r>
        <w:t>SO Obergericht, 2013-06-20, DE</w:t>
      </w:r>
    </w:p>
    <w:p>
      <w:r>
        <w:rPr>
          <w:b/>
        </w:rPr>
        <w:t xml:space="preserve">Quelle: </w:t>
      </w:r>
      <w:r>
        <w:t>https://mcp.opencaselaw.ch/entscheid/so_gerichte_VSBES.2013.225_d20130620</w:t>
      </w:r>
    </w:p>
    <w:p>
      <w:r>
        <w:t>FR: SO_GERICHTE VSBES.2013.225 du 20 juin 2013</w:t>
      </w:r>
    </w:p>
    <w:p>
      <w:r>
        <w:t>IT: SO_GERICHTE VSBES.2013.225 del 20 giugno 2013</w:t>
      </w:r>
    </w:p>
    <w:p>
      <w:pPr>
        <w:pStyle w:val="Heading2"/>
      </w:pPr>
      <w:r>
        <w:t>Regeste</w:t>
      </w:r>
    </w:p>
    <w:p>
      <w:r>
        <w:t>Einspracheentscheid vom 20. Juni 2013 (Unfallversicherung)</w:t>
      </w:r>
    </w:p>
    <w:p>
      <w:pPr>
        <w:pStyle w:val="Heading2"/>
      </w:pPr>
      <w:r>
        <w:t>Erwägungen</w:t>
      </w:r>
    </w:p>
    <w:p>
      <w:r>
        <w:rPr>
          <w:b/>
        </w:rPr>
        <w:t>E. 30</w:t>
      </w:r>
    </w:p>
    <w:p>
      <w:r>
        <w:t>Mai 2013 zurückgezogen. Im Lichte der obigen Erwägungen ist dieser Rückzug, da ein separates Rechtsverhältnis (Integritätsentschädigung) betreffend, zulässig und wirksam, womit die Verfügung vom 13. August 2012 in Rechtskraft erwachsen ist. Die Beschwerdeführerin hat somit Anspruch auf die ihr mit der Verfügung vom 13. August 2012 zugesprochene Integritätsentschädigung von 10 % respektive CHF 12‘600.00. Demnach ist die Beschwerde in diesem Punkt gutzuheissen. Versicherungsgericht, Urteil vom 28. August 2014 (VSBES.2013.225)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