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VSBES.2010.42 vom 13. Juli 2010</w:t>
      </w:r>
    </w:p>
    <w:p>
      <w:r>
        <w:t>SO Obergericht, 2010-07-13, DE</w:t>
      </w:r>
    </w:p>
    <w:p>
      <w:r>
        <w:rPr>
          <w:b/>
        </w:rPr>
        <w:t xml:space="preserve">Quelle: </w:t>
      </w:r>
      <w:r>
        <w:t>https://mcp.opencaselaw.ch/entscheid/so_gerichte_VSBES.2010.42</w:t>
      </w:r>
    </w:p>
    <w:p>
      <w:r>
        <w:t>FR: SO_GERICHTE VSBES.2010.42 du 13 juillet 2010</w:t>
      </w:r>
    </w:p>
    <w:p>
      <w:r>
        <w:t>IT: SO_GERICHTE VSBES.2010.42 del 13 luglio 2010</w:t>
      </w:r>
    </w:p>
    <w:p>
      <w:pPr>
        <w:pStyle w:val="Heading2"/>
      </w:pPr>
      <w:r>
        <w:t>Regeste</w:t>
      </w:r>
    </w:p>
    <w:p>
      <w:r>
        <w:t>Ob die Invalidenversicherung eine Kinderrente generell einstellen darf, wenn das fragliche Kind während der laufenden Ausbildung seinen Militärdienst als sog. Durchdiener in einem Stück absolviert, kann offen bleiben, da im vorliegenden Fall auch so kein vermeidbarer Unterbruch der Ausbildung gegeben ist.</w:t>
      </w:r>
    </w:p>
    <w:p>
      <w:pPr>
        <w:pStyle w:val="Heading2"/>
      </w:pPr>
      <w:r>
        <w:t>Erwägungen</w:t>
      </w:r>
    </w:p>
    <w:p>
      <w:r>
        <w:rPr>
          <w:b/>
        </w:rPr>
        <w:t>E. 5</w:t>
      </w:r>
    </w:p>
    <w:p>
      <w:r>
        <w:t>AHVG der Rentenanspruch bis zu deren Abschluss, längstens aber bis zum vollendeten 25. Altersjahr.</w:t>
      </w:r>
    </w:p>
    <w:p>
      <w:r>
        <w:t>Die Ausbildung ist mit dem objektiv zumutbaren Einsatz zu betreiben, um sie innert nützlicher Frist erfolgreich abschliessen zu können (ZAK 1978 S. 548), d.h. eine unnötige Verzögerung führt zum Verlust der Kinderrente. Personen, die während der Ausbildung Militärdienst leisten, gelten jedoch weiterhin als in Ausbildung begriffen und damit rentenberechtigt, wenn sie diese Ausbildung nach dem Dienst bei der nächstmöglichen Gelegenheit fortsetzen (Wegleitung über die Renten in der Eidg. Alters-, Hinterlassenen- und Invalidenversicherung [RWL] Rz 3370, unter Hinweis auf ZAK 1967 S. 174) und die Möglichkeiten wahrnehmen, den Dienst zu unterbrechen, was bei der Rekrutenschule in begründeten Fällen einmal möglich ist (RWL Rz 3371.2).</w:t>
      </w:r>
    </w:p>
    <w:p>
      <w:r>
        <w:t>Die IV-Stelle hält nun unter Hinweis auf RWL Rz 3371.1 dafür, bei einem Durchdiener bestehe während der gesamten Dienstdauer kein Anspruch auf eine Kinderrente, da das Durchdienen freiwillig erfolge und die in Ausbildung begriffene Person alle ihr zur Verfügung stehenden Möglichkeiten auszuschöpfen habe, um die Ausbildung ohne Verzug voranzutreiben.</w:t>
      </w:r>
    </w:p>
    <w:p>
      <w:r>
        <w:t>b) Y. will im Herbstsemester 2010 an der Universität Bern das Studium der Rechtswissenschaft antreten und den Bachelor of Law erwerben. Dieses Hochschulstudium stellt eine Ausbildung dar, während der grundsätzlich Anspruch auf eine Kinderrente besteht, denn die Erlangung der Maturität im August 2009 bildete keine abgeschlossene Berufsausbildung (vgl. BGE 5C_249/2006 vom 8. Dezember 2006). Andererseits ist richtig, dass das Durchdienen ab September 2009 auf freiwilliger Basis erfolgt, es Y. also ohne weiteres möglich gewesen wäre, stattdessen die kürzere ordentliche Rekrutenschule zu durchlaufen. Entscheidend ist jedoch im vorliegenden Fall, dass das angestrebte rechtswissenschaftliche Bachelorstudium an der Universität Bern nur im Herbstsemester angetreten werden kann. Dies bedeutet, dass Y. seine Ausbildung selbst dann frühestens im Herbst 2010 hätte fortsetzen können, wenn er nicht durchgedient, sondern ab September 2009 die ordentliche Rekrutenschule absolviert hätte. Auch ein Unterbruch des Dienstes im Frühjahr hätte in dieser Situation nicht weitergeholfen. Von einer vermeidbaren Verzögerung der Ausbildung kann also trotz des Durchdienens keine Rede sein, so dass für eine Einstellung der Kinderrente während der Dienstzeit keine Grundlage besteht. Die Beschwerde erweist sich damit als begründet und ist gutzuheissen. (...) Ob RWL Rz 3371.1 überhaupt gesetzeskonform ist, kann unter diesen Umständen offen bleiben.</w:t>
      </w:r>
    </w:p>
    <w:p>
      <w:r>
        <w:t>Versicherungsgericht, Urteil vom 13. Juli 2010 (VSBES.2010.42)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