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STKAJ.2009.1 vom 3. Februar 2010</w:t>
      </w:r>
    </w:p>
    <w:p>
      <w:r>
        <w:t>SO Obergericht, 2010-02-03, DE</w:t>
      </w:r>
    </w:p>
    <w:p>
      <w:r>
        <w:rPr>
          <w:b/>
        </w:rPr>
        <w:t xml:space="preserve">Quelle: </w:t>
      </w:r>
      <w:r>
        <w:t>https://mcp.opencaselaw.ch/entscheid/so_gerichte_STKAJ.2009.1</w:t>
      </w:r>
    </w:p>
    <w:p>
      <w:r>
        <w:t>FR: SO_GERICHTE STKAJ.2009.1 du 3 février 2010</w:t>
      </w:r>
    </w:p>
    <w:p>
      <w:r>
        <w:t>IT: SO_GERICHTE STKAJ.2009.1 del 3 febbraio 2010</w:t>
      </w:r>
    </w:p>
    <w:p>
      <w:pPr>
        <w:pStyle w:val="Heading2"/>
      </w:pPr>
      <w:r>
        <w:t>Regeste</w:t>
      </w:r>
    </w:p>
    <w:p>
      <w:r>
        <w:t>Art. 36 Abs. 1 lit. c JStG und Art. 1 Abs. 2 lit. j JStG, §§ 190 ff. StPO-SO. Verjährung im Kassationsbeschwerdeverfahren. Im Jugendstrafrecht verjährt die Strafverfolgung bei Übertretungen in einem Jahr. Im Gegensatz zum Erwachsenenstrafrecht stoppt im Jugendstrafrecht ein innerhalb der Verjährungsfrist ergangenes erstinstanzliches Urteil das Weiterlaufen der Verjährungsfrist nicht. Beim ausserordentlichen Rechtsmittel der Kassationsbeschwerde ruht die Verfolgungsverjährung während des kantonalen Kassationsbeschwerdeverfahrens.</w:t>
      </w:r>
    </w:p>
    <w:p>
      <w:pPr>
        <w:pStyle w:val="Heading2"/>
      </w:pPr>
      <w:r>
        <w:t>Erwägungen</w:t>
      </w:r>
    </w:p>
    <w:p>
      <w:r>
        <w:rPr>
          <w:b/>
        </w:rPr>
        <w:t>E. 6</w:t>
      </w:r>
    </w:p>
    <w:p>
      <w:r>
        <w:t>Aufl., Basel etc. 2005, S. 422). Wenn innerhalb der Verjährungsfrist ein formell rechtskräftiges Urteil ergeht, tritt die Verfolgungsverjährung nicht ein (BGE 111 IV 87). Das Urteil des Jugendgerichtspräsidenten vom 22. April 2009 erging innert Jahresfrist und erwuchs  da einzig mit dem ausserordentlichen Rechtsmittel der Kassationsbeschwerde anfechtbar  formell in Rechtskraft. Die einjährige Verjährungsfrist wurde damit eingehalten und ruht nun bis zum Abschluss des Beschwerdeverfahrens.</w:t>
      </w:r>
    </w:p>
    <w:p>
      <w:r>
        <w:t>d) Der Beschwerdeführer wendet ein, die geschilderte Praxis könne unter neuem Recht nicht mehr zur Anwendung gelangen, da nicht Verfolgungs- und Vollstreckungsverjährung nebeneinander laufen könnten und es auch keinen verjährungsfreien Zwischenraum geben dürfe.</w:t>
      </w:r>
    </w:p>
    <w:p>
      <w:r>
        <w:t>Hiezu ist zu bemerken, dass während des Kassationsbeschwerdeverfahrens nach der dargestellten Praxis die Verfolgungsverjährung ruht und die Vollstreckungsverjährung noch nicht begonnen hat, da die Kassationsbeschwerde den Vollzug des angefochtenen Urteils hemmt (§ 191 StPO-SO und Art. 100 StGB). Es besteht deshalb während des Beschwerdeverfahrens vielmehr eine «verjährungsfreie» Phase, welche allerdings nur vorübergehender Natur ist. Wie erwähnt, verlängert sich bei einer allfälligen Gutheissung einer Beschwerde die Frist der Verfolgungsverjährung um die Zeit des Beschwerdeverfahrens. Der betroffene Beschwerdeführer wird damit verjährungsrechtlich wieder in den Stand zur Zeit des erstinstanzlichen Urteils versetzt und erleidet damit keinen Nachteil.</w:t>
      </w:r>
    </w:p>
    <w:p>
      <w:r>
        <w:t>e) Zusammenfassend ist somit festzuhalten, dass kein Grund ersichtlich ist, welcher im Bereich des Jugendstrafrechts für eine Abweichung von der bisherigen Praxis bei Verjährungsfragen im Kassationsbeschwerdeverfahren sprechen würde. Vielmehr entspricht diese Praxis dem Charakter der Kassationsbeschwerde als unvollkommenes Rechtsmittel. Die Rechtsmittelinstanz überprüft, ob das erstinstanzliche Gericht zum Zeitpunkt seines Entscheides den Sachverhalt willkürfrei festgestellt und das Recht richtig angewandt hat. Die Rechtsmittelinstanz nimmt damit eine Überprüfung zu einem bestimmten Zeitpunkt vor, und ab diesem Zeitpunkt soll die Verfolgungsverjährung nicht weiterlaufen. Diese Form der Überprüfung unterscheidet sich ganz wesentlich von der Kognition in einem ordentlichen Rechtsmittelverfahren, in welchem der erstinstanzliche Entscheid dahinfällt und die Rechtsmittelinstanz einen neuen Entscheid fällt.</w:t>
      </w:r>
    </w:p>
    <w:p>
      <w:r>
        <w:t>Obergericht Strafkammer, Urteil vom 3. Februar 2010 (STKAJ.2009.1)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