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STBER.2024.53 vom 13. März 2025</w:t>
      </w:r>
    </w:p>
    <w:p>
      <w:r>
        <w:t>SO Obergericht, 2025-03-13, DE</w:t>
      </w:r>
    </w:p>
    <w:p>
      <w:r>
        <w:rPr>
          <w:b/>
        </w:rPr>
        <w:t xml:space="preserve">Quelle: </w:t>
      </w:r>
      <w:r>
        <w:t>https://mcp.opencaselaw.ch/entscheid/so_gerichte_STBER.2024.53</w:t>
      </w:r>
    </w:p>
    <w:p>
      <w:r>
        <w:t>FR: SO_GERICHTE STBER.2024.53 du 13 mars 2025</w:t>
      </w:r>
    </w:p>
    <w:p>
      <w:r>
        <w:t>IT: SO_GERICHTE STBER.2024.53 del 13 marzo 2025</w:t>
      </w:r>
    </w:p>
    <w:p>
      <w:pPr>
        <w:pStyle w:val="Heading2"/>
      </w:pPr>
      <w:r>
        <w:t>Erwägungen</w:t>
      </w:r>
    </w:p>
    <w:p>
      <w:r>
        <w:rPr>
          <w:b/>
        </w:rPr>
        <w:t>E. 1</w:t>
      </w:r>
    </w:p>
    <w:p>
      <w:r>
        <w:t>Die Staatsanwaltschaft des Kantons Solothurn (nachfolgend: Staatsanwaltschaft) verurteilte A.___ (nachfolgend: Beschuldigter / Berufungskläger) mit Strafbefehl vom 22. Juni 2023 wegen Hausfriedensbruchs nach Art. 186 des Schweizerischen Strafgesetzbuches (StGB, SR 311.0) zu einer Geldstrafe von 20 Tagessätzen zu je CHF 210.00, bedingt aufgeschoben bei einer Probezeit von zwei Jahren, sowie zur Tragung der Verfahrenskosten von CHF 525.00 (Akten Staatsanwaltschaft, nicht paginiert).</w:t>
      </w:r>
    </w:p>
    <w:p>
      <w:r>
        <w:rPr>
          <w:b/>
        </w:rPr>
        <w:t>E. 1.1</w:t>
      </w:r>
    </w:p>
    <w:p>
      <w:r>
        <w:t>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w:t>
      </w:r>
    </w:p>
    <w:p>
      <w:r>
        <w:rPr>
          <w:b/>
        </w:rPr>
        <w:t>E. 1.2</w:t>
      </w:r>
    </w:p>
    <w:p>
      <w:r>
        <w:t>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StGB herangezogen werden, dessen Formulierung in Abs. 1 «nach diesem Gesetz wird beurteilt, wer nach dessen Inkrafttreten ein Verbrechen oder Vergehen begeht» jeweils die entsprechende Änderung des Gesetzes meint.</w:t>
      </w:r>
    </w:p>
    <w:p>
      <w:r>
        <w:rPr>
          <w:b/>
        </w:rPr>
        <w:t>E. 1.3</w:t>
      </w:r>
    </w:p>
    <w:p>
      <w:r>
        <w:t>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rPr>
          <w:b/>
        </w:rPr>
        <w:t>E. 1.4</w:t>
      </w:r>
    </w:p>
    <w:p>
      <w:r>
        <w:t>Für den vorliegenden Fall bedeutet dies, dass das neue Prozessrecht zur Anwendung gelangt.</w:t>
      </w:r>
    </w:p>
    <w:p>
      <w:r>
        <w:t>2. Prozessökonomie</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w:t>
      </w:r>
    </w:p>
    <w:p>
      <w:r>
        <w:t>III. Sachverhalt / Anklagegrundsatz / Immutabilitätsprinzip</w:t>
      </w:r>
    </w:p>
    <w:p>
      <w:r>
        <w:t>1. Allgemeine Ausführungen zur Beweiswürdigung</w:t>
      </w:r>
    </w:p>
    <w:p>
      <w:r>
        <w:t>2. Strafbefehl</w:t>
      </w:r>
    </w:p>
    <w:p>
      <w:r>
        <w:t>«Hausfriedensbruch (Art. 186 StGB)</w:t>
      </w:r>
    </w:p>
    <w:p>
      <w:r>
        <w:t>begangen am 22. März 2023, ca. 14:30 Uhr, in Solothurn, [Adresse], Geschäftshaus, zum Nachteil von B.___, indem der Beschuldigte trotz des bestehenden und gültig gegen ihn ausgesprochenen Hausverbots vom 5. Juli 2021 (gültig auf Weiteres), die Geschäftsräumlichkeiten des Geschädigten an der [Adresse] in Solothurn betrat und sich anschliessend gegen den Willen des Berechtigten darin aufhielt.»</w:t>
      </w:r>
    </w:p>
    <w:p>
      <w:r>
        <w:t>Wie die Vorinstanz zutreffend ausführt, ist unter den Parteien unbestritten, dass ein gültiges Hausverbot, datiert vom 5. Juli 2021, bestand, der Beschuldigte davon Kenntnis hatte, in der Absicht, mit dem Privatkläger zu sprechen, die Geschäftsliegenschaft an der [Adresse] in Solothurn betrat und sich in den vierten Stock begab, um den Privatkläger dort abzupassen.</w:t>
      </w:r>
    </w:p>
    <w:p>
      <w:r>
        <w:t>Ferner ist unbestritten, dass sich der Beschuldigte weder in den Geschäftsräumen der C.___ AG (Geschäftsräumlichkeiten des Privatklägers) noch in der Tiefgarage der Liegenschaft aufgehalten hat, was Gegenstand des Strafbefehls ist.</w:t>
      </w:r>
    </w:p>
    <w:p>
      <w:r>
        <w:t>Entgegen den vorinstanzlichen Erwägungen ist damit der inkriminierte Sachverhalt nicht erstellt. Vielmehr dehnte sie den Begriff der «Geschäftsräumlichkeiten des Privatklägers» auf das Treppenhaus aus. Es muss geprüft werden, ob die Vorinstanz dadurch den Anklagegrundsatz bzw. das Immutabilitätsprinzip verletzt hat.</w:t>
      </w:r>
    </w:p>
    <w:p>
      <w:r>
        <w:t>4. Anklagegrundsatz / Immutabilitätsprinzip</w:t>
      </w:r>
    </w:p>
    <w:p>
      <w:r>
        <w:rPr>
          <w:b/>
        </w:rPr>
        <w:t>E. 2</w:t>
      </w:r>
    </w:p>
    <w:p>
      <w:r>
        <w:t>Am 2. Juli 2023 erhob der Beschuldigte Einsprache gegen den Strafbefehl.</w:t>
      </w:r>
    </w:p>
    <w:p>
      <w:r>
        <w:rPr>
          <w:b/>
        </w:rPr>
        <w:t>E. 2.1</w:t>
      </w:r>
    </w:p>
    <w:p>
      <w:r>
        <w:t>Dem Beschuldigten ist für das erstinstanzliche Verfahren keine Parteientschädigung zuzusprechen, da keine verlangt wurde.</w:t>
      </w:r>
    </w:p>
    <w:p>
      <w:r>
        <w:rPr>
          <w:b/>
        </w:rPr>
        <w:t>E. 2.2</w:t>
      </w:r>
    </w:p>
    <w:p>
      <w:r>
        <w:t>Ihm ist hingegen für das Berufungsverfahren eine Parteientschädigung zu Lasten des Staates zuzusprechen. Der private Verteidiger des Beschuldigten, Rechtsanwalt Thomas Stulz, macht gemäss seiner Honorarnote vom 23. September 2024 eine Entschädigung von insgesamt CHF 6'079.75 (Honorar CHF 5569, Auslagen CHF 55.00 sowie 8,1 % MwSt. auf CHF 5'624.20, entsprechend CHF 455.55) geltend (ASB 69). Der insgesamt geltend gemachte Zeitaufwand umfasst 15,47 Stunden, was grundsätzlich angemessen ist. Der geforderte Stundenansatz beträgt CHF 360.00. Gemäss Praxis der Strafkammer des Obergerichts des Kantons Solothurn ist dieser auf maximal CHF 280.00 festzusetzen, es sei denn, es liege ein komplexer Fall vor. Auch vorliegend ist auf diesen Ansatz abzustellen, da nur sehr zurückhaltend ein höherer Tarif zugesprochen wird. Mit den geltend gemachten Auslagen und der Mehrwertsteuer resultiert nach dem Gesagten eine Entschädigung in der Höhe von CHF 4'741.90.</w:t>
      </w:r>
    </w:p>
    <w:p>
      <w:r>
        <w:t>Demnach wird in Anwendung von Art. 126 Abs. 1 lit. b, 335 ff., 398 ff., 422 ff., StPO</w:t>
      </w:r>
    </w:p>
    <w:p>
      <w:r>
        <w:t>beschlossenunderkannt:</w:t>
      </w:r>
    </w:p>
    <w:p>
      <w:r>
        <w:t>1.A.___ wird vom Vorwurf des Hausfriedensbruchs, angeblich begangen am 22. März 2023, freigesprochen.</w:t>
      </w:r>
    </w:p>
    <w:p>
      <w:r>
        <w:t>2.Die vom Privatkläger B.___ gegenüber A.___ geltend gemachte Genugtuungsforderung wird abgewiesen.</w:t>
      </w:r>
    </w:p>
    <w:p>
      <w:r>
        <w:t>3.Die Kosten des erstinstanzlichen sowie Berufungsverfahrens erliegen auf dem Staat.</w:t>
      </w:r>
    </w:p>
    <w:p>
      <w:r>
        <w:t>4.A.___ wird für das erstinstanzliche Verfahren keine Parteientschädigung zugesprochen.</w:t>
      </w:r>
    </w:p>
    <w:p>
      <w:r>
        <w:t>5.A.___ wird für das Berufungsverfahren eine Parteientschädigung von CHF 4'741.90 (inkl. Auslagen und MwSt.) zugesprochen, zahlbar durch den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3</w:t>
      </w:r>
    </w:p>
    <w:p>
      <w:r>
        <w:t>Mit Eingabe vom 24. Juli 2023 hielt die Staatsanwaltschaft an dem angefochtenen Strafbefehl fest und überwies diesen mit den Akten dem Gerichtspräsidium Solothurn-Lebern zum Entscheid (Aktenseiten Richteramt Solothurn-Lebern [ASSL] 0001 ff.).</w:t>
      </w:r>
    </w:p>
    <w:p>
      <w:r>
        <w:rPr>
          <w:b/>
        </w:rPr>
        <w:t>E. 4</w:t>
      </w:r>
    </w:p>
    <w:p>
      <w:r>
        <w:t>Der Amtsgerichtspräsident von Solothurn-Lebern (nachfolgend: Vorinstanz) erliess am 29. April 2024 folgendes Strafurteil (ASSL 0087 ff.):</w:t>
      </w:r>
    </w:p>
    <w:p>
      <w:r>
        <w:t>1.A.___ hat sich des Hausfriedensbruchs, begangen am 22. März 2023, schuldig gemacht.</w:t>
      </w:r>
    </w:p>
    <w:p>
      <w:r>
        <w:t>2.A.___ wird zu einer Geldstrafe von 20 Tagessätzen zu je CHF 190.00 verurteilt, unter Gewährung des bedingten Vollzugs bei einer Probezeit von 2 Jahren.</w:t>
      </w:r>
    </w:p>
    <w:p>
      <w:r>
        <w:t>3.(Der Privatkläger) B.___ wird zur Geltendmachung seiner Genugtuungsforderung gegenüber A.___ auf den Zivilweg verwiesen.</w:t>
      </w:r>
    </w:p>
    <w:p>
      <w:r>
        <w:t>4.A.___ hat die Kosten des Verfahrens mit einer Urteilsgebühr von CHF 800.00, total CHF 1'000.00, zu bezahlen. Wird kein Rechtsmittel ergriffen und verlangt keine Partei ausdrücklich eine schriftliche Begründung des Urteils, so reduziert sich die Urteilsgebühr um CHF 200.00, womit die gesamten Kosten CHF 800.00 betragen.</w:t>
      </w:r>
    </w:p>
    <w:p>
      <w:r>
        <w:rPr>
          <w:b/>
        </w:rPr>
        <w:t>E. 4.1</w:t>
      </w:r>
    </w:p>
    <w:p>
      <w:r>
        <w:t>Des Hausfriedensbruchs macht sich nach Art. 186 StGB u.a. strafbar, wer gegen den Willen des Berechtigten in ein Haus eindringt. Haus im Sinne dieser Bestimmung ist nicht nur ein Wohnhaus, sondern jede einen oder mehrere Räumlichkeiten umfassende, mit dem Boden fest und dauernd verbundene Baute, hinsichtlich der ein schutzwürdiges Interesse eines Berechtigten besteht, über den umbauten Raum ungestört zu herrschen und in ihm den Willen frei zu betätigen (BGE 90 IV 76 E. 1 mit Hinweisen). Der Begriff des Hauses ist somit in weitem Sinn zu nehmen; er umfasst beispielsweise Fabriken und Geschäftsräume, aber auch Amtslokale, Parkgaragen und dergleichen. Dass solche Räumlichkeiten dem Publikum, d.h. einer unbestimmten Zahl von Personen offenstehen, schliesst den Schutz des Art. 186 StGB nicht aus. Gegen den Willen des Berechtigten dringt im Sinne des Art. 186 StGB ein, wer den Raum ohne die erteilte Einwilligung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allgemeinen Erlaubnis können als Willensäusserungen des Berechtigten ausdrücklich festgelegt werden oder sich aus den Umständen ergeben (BGE 90 IV 77 E. 2b). Wo bestimmte Räumlichkeiten dem Publikum nur für bestimmte Zwecke offenstehen und ihre Zweckbestimmung für jedermann ohne jeden Zweifel klar zutage tritt, handelt gegen den Willen des Berechtigten, wer zu einem anderen Zweck in sie eindringt (BGE 108 IV 33 E. 5).</w:t>
      </w:r>
    </w:p>
    <w:p>
      <w:r>
        <w:rPr>
          <w:b/>
        </w:rPr>
        <w:t>E. 4.2</w:t>
      </w:r>
    </w:p>
    <w:p>
      <w:r>
        <w:t>Nach dem Anklagegrundsatz bestimmt die Anklageschrift den Gegenstand des Gerichtsverfahrens (Umgrenzungsfunktion; Art. 29 Abs. 2 und Art. 32 Abs. 2 BV sowie Art. 6 Ziff. 1 und 3 lit. a und b EMRK; BGE 143 IV 63 E. 2.2; BGE 141 IV 132 E. 3.4.1; je mit Hinweisen). Wie Art. 9 Abs. 1 StPO ausdrücklich festlegt, kann eine Straftat nur gerichtlich beurteilt werden, wenn die Staatsanwaltschaft gegen eine bestimmte Person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(BGE 147 IV 439 E. 7.2; 141 IV 132 E. 3.4.1; je mit Hinweisen).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mit Hinweisen). Wenn eindeutige tatsächliche Feststellungen zwar nicht möglich sind, aber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(siehe etwa Urteil 6B_165/2020 vom 20. Mai 2020 E. 2.2.1 mit Hinweisen).</w:t>
      </w:r>
    </w:p>
    <w:p>
      <w:r>
        <w:rPr>
          <w:b/>
        </w:rPr>
        <w:t>E. 4.3</w:t>
      </w:r>
    </w:p>
    <w:p>
      <w:r>
        <w:t>Das Gericht ist an den in der Anklage umschriebenen Sachverhalt (Immutabilitätsprinzip), nicht aber an die darin vorgenommene rechtliche Würdigung gebunden (Art. 350 Abs. 1 StPO). Der Anklagegrundsatz ist verletzt, wenn die beschuldigte Person für Taten verurteilt wird, bezüglich welcher die Anklageschrift den inhaltlichen Anforderungen nicht genügt, bzw. wenn das Gericht mit seinem Schuldspruch über den angeklagten Sachverhalt hinausgeht (so etwa Urteile 6B_1262/2021 vom 23. März 2022 E. 3.1; 6B_1298/2021 vom 14. Januar 2022 E. 1.2; 6B_721/2021 vom 22. Dezember 2021 E. 2.3.1).</w:t>
      </w:r>
    </w:p>
    <w:p>
      <w:r>
        <w:rPr>
          <w:b/>
        </w:rPr>
        <w:t>E. 4.4</w:t>
      </w:r>
    </w:p>
    <w:p>
      <w:r>
        <w:t>Subsumtion</w:t>
      </w:r>
    </w:p>
    <w:p>
      <w:r>
        <w:t>Bei dieser Ausgangslage ist der Beschuldigte vom Vorhalt des Hausfriedensbruchs freizusprechen.</w:t>
      </w:r>
    </w:p>
    <w:p>
      <w:r>
        <w:t>IV. Genugtuungsforderung</w:t>
      </w:r>
    </w:p>
    <w:p>
      <w:r>
        <w:t>Seitens des Privatklägers wird eine nicht näher substantiierte Genugtuungsforderung von CHF 500.00 gestellt. Bei diesem Verfahrensausgang wird diese abgewiesen.</w:t>
      </w:r>
    </w:p>
    <w:p>
      <w:r>
        <w:t>V. Kosten und Entschädigungen</w:t>
      </w:r>
    </w:p>
    <w:p>
      <w:r>
        <w:t>1. Die Kosten des erstinstanzlichen Verfahrens (CHF 800.00 Urteilsgebühr, CHF 200.00 Auslagen) sowie Berufungsverfahrens (CHF 1'200.00 Urteilsgebühr, CHF 100.00 Auslagen) erliegen bei diesem Verfahrensausgang auf dem Staat.</w:t>
      </w:r>
    </w:p>
    <w:p>
      <w:r>
        <w:rPr>
          <w:b/>
        </w:rPr>
        <w:t>E. 5</w:t>
      </w:r>
    </w:p>
    <w:p>
      <w:r>
        <w:t>Gegen das Urteil meldete der Beschuldigte am 5. Mai 2024 die Berufung an (ASSL 0094; Art. 399 Abs. 1 StPO). Nach Erhalt des motivierten Urteils (ASSL 0101 ff.) liess der Beschuldigte, nunmehr vertreten durch Rechtsanwalt Thomas Stulz, mit Eingabe vom 1. Juli 2024 die Berufung erklären (Aktenseiten Berufungsgericht [ASB] 3 ff.; Art. 399 Abs. 3 StPO). Das Urteil wird in allen Punkten angefochten. Konkret wird ein vollumfänglicher Freispruch verlangt, unter Auferlegung der Gerichts-, Verfahrens- und Parteikosten an den Staat.</w:t>
      </w:r>
    </w:p>
    <w:p>
      <w:r>
        <w:rPr>
          <w:b/>
        </w:rPr>
        <w:t>E. 6</w:t>
      </w:r>
    </w:p>
    <w:p>
      <w:r>
        <w:t>Die Staatsanwaltschaft verzichtete mit Eingabe vom 29. Juli 2024 auf eine Anschlussberufung und auf die weitere Teilnahme am Berufungsverfahren (ASB 39).</w:t>
      </w:r>
    </w:p>
    <w:p>
      <w:r>
        <w:rPr>
          <w:b/>
        </w:rPr>
        <w:t>E. 7</w:t>
      </w:r>
    </w:p>
    <w:p>
      <w:r>
        <w:t>Der Strafantragsteller B.___ (nachfolgend: Privatkläger / Geschädigter) hat die Verweisung der Genugtuungsforderung auf den Zivilweg nicht angefochten und hatte bereits am 5. Juni 2023 auf eine Beteiligung als Strafkläger am Strafverfahren verzichtet.</w:t>
      </w:r>
    </w:p>
    <w:p>
      <w:r>
        <w:rPr>
          <w:b/>
        </w:rPr>
        <w:t>E. 8</w:t>
      </w:r>
    </w:p>
    <w:p>
      <w:r>
        <w:t>Mit Verfügung vom 22. August 2024 wurde mitgeteilt, es sei vorgesehen, die Berufung in einem schriftlichen Verfahren zu behandeln. Ohne gegenteiligen Bericht bis 5. September 2024 werde angenommen, die Parteien seien mit diesem Vorgehen einverstanden (ASB 27).</w:t>
      </w:r>
    </w:p>
    <w:p>
      <w:r>
        <w:rPr>
          <w:b/>
        </w:rPr>
        <w:t>E. 9</w:t>
      </w:r>
    </w:p>
    <w:p>
      <w:r>
        <w:t>Mit Verfügung vom 9. September 2024 wurde festgestellt, dass innert Frist keine Einwände gegen das schriftliche Verfahren geltend gemacht worden seien, weshalb gestützt auf Art. 406 Abs. 1 StPO das schriftliche Verfahren angeordnet wurde (ASB 43). Dem Berufungskläger wurde Frist gesetzt zur Einreichung einer allfälligen ergänzenden Berufungsbegründung und von aktuellen Einkommens- und Steuerbelegen. Ebenso wurde seinem Verteidiger die Möglichkeit zur Einreichung seiner Honorarnote eingeräumt.</w:t>
      </w:r>
    </w:p>
    <w:p>
      <w:r>
        <w:rPr>
          <w:b/>
        </w:rPr>
        <w:t>E. 10</w:t>
      </w:r>
    </w:p>
    <w:p>
      <w:r>
        <w:t>Am 23. September 2024 wurde die ergänzende schriftliche Berufungsbegründung inkl. Beilagen eingereicht (ASB 44 ff.).</w:t>
      </w:r>
    </w:p>
    <w:p>
      <w:r>
        <w:t>II. Formelles</w:t>
      </w:r>
    </w:p>
    <w:p>
      <w:r>
        <w:t>1.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