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STBER.2019.13 vom 26. April 2019</w:t>
      </w:r>
    </w:p>
    <w:p>
      <w:r>
        <w:t>SO Obergericht, 2019-04-26, DE</w:t>
      </w:r>
    </w:p>
    <w:p>
      <w:r>
        <w:rPr>
          <w:b/>
        </w:rPr>
        <w:t xml:space="preserve">Quelle: </w:t>
      </w:r>
      <w:r>
        <w:t>https://mcp.opencaselaw.ch/entscheid/so_gerichte_STBER.2019.13</w:t>
      </w:r>
    </w:p>
    <w:p>
      <w:r>
        <w:t>FR: SO_GERICHTE STBER.2019.13 du 26 avril 2019</w:t>
      </w:r>
    </w:p>
    <w:p>
      <w:r>
        <w:t>IT: SO_GERICHTE STBER.2019.13 del 26 aprile 2019</w:t>
      </w:r>
    </w:p>
    <w:p>
      <w:pPr>
        <w:pStyle w:val="Heading2"/>
      </w:pPr>
      <w:r>
        <w:t>Regeste</w:t>
      </w:r>
    </w:p>
    <w:p>
      <w:r>
        <w:t>Art. 172ter StGB: Es kann ein Schuldspruch wegen geringfügigen Diebstahls ergehen, wenn das Deliktsgut zusammen mit dem zwecks Begehung des Delikts vorgängig angerichteten Schaden den Betrag von CHF 300.00 übersteigt.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April 2019 (STBER.2019.13)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