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SO_GERICHTE STBER.2018.85 vom 21. Februar 2019</w:t>
      </w:r>
    </w:p>
    <w:p>
      <w:r>
        <w:t>SO Obergericht, 2019-02-21, DE</w:t>
      </w:r>
    </w:p>
    <w:p>
      <w:r>
        <w:rPr>
          <w:b/>
        </w:rPr>
        <w:t xml:space="preserve">Quelle: </w:t>
      </w:r>
      <w:r>
        <w:t>https://mcp.opencaselaw.ch/entscheid/so_gerichte_STBER.2018.85</w:t>
      </w:r>
    </w:p>
    <w:p>
      <w:r>
        <w:t>FR: SO_GERICHTE STBER.2018.85 du 21 février 2019</w:t>
      </w:r>
    </w:p>
    <w:p>
      <w:r>
        <w:t>IT: SO_GERICHTE STBER.2018.85 del 21 febbraio 2019</w:t>
      </w:r>
    </w:p>
    <w:p>
      <w:pPr>
        <w:pStyle w:val="Heading2"/>
      </w:pPr>
      <w:r>
        <w:t>Regeste</w:t>
      </w:r>
    </w:p>
    <w:p>
      <w:r>
        <w:t>Art. 407 Abs. 1 lit. c StPO: Eine Berufung gilt als zurückgezogen, wenn der Berufungskläger nicht vorgeladen werden kann. Eine vorgängige Vorladung durch Veröffentlichung im Amtsblatt ist im Berufungsverfahren nicht notwendig.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Februar 2019 (STBER.2018.85)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