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STBER.2017.39 vom 28. November 2017</w:t>
      </w:r>
    </w:p>
    <w:p>
      <w:r>
        <w:t>SO Obergericht, 2017-11-28, DE</w:t>
      </w:r>
    </w:p>
    <w:p>
      <w:r>
        <w:rPr>
          <w:b/>
        </w:rPr>
        <w:t xml:space="preserve">Quelle: </w:t>
      </w:r>
      <w:r>
        <w:t>https://mcp.opencaselaw.ch/entscheid/so_gerichte_STBER.2017.39</w:t>
      </w:r>
    </w:p>
    <w:p>
      <w:r>
        <w:t>FR: SO_GERICHTE STBER.2017.39 du 28 novembre 2017</w:t>
      </w:r>
    </w:p>
    <w:p>
      <w:r>
        <w:t>IT: SO_GERICHTE STBER.2017.39 del 28 novembre 2017</w:t>
      </w:r>
    </w:p>
    <w:p>
      <w:pPr>
        <w:pStyle w:val="Heading2"/>
      </w:pPr>
      <w:r>
        <w:t>Erwägungen</w:t>
      </w:r>
    </w:p>
    <w:p>
      <w:r>
        <w:rPr>
          <w:b/>
        </w:rPr>
        <w:t>E. 1</w:t>
      </w:r>
    </w:p>
    <w:p>
      <w:r>
        <w:t>Am 25. November 2015 eröffnete die Staatsanwaltschaft des Kantons Solothurn gegen den Beschuldigten eine Strafuntersuchung wegen des Verdachts mehrerer Vermögensdelikte sowie Widerhandlungen gegen das BetmG und das SVG (AS 499). Am 2. Juni 2016 folgte eine ausführliche Eröffnungsverfügung (AS 505 ff.), welche am 10. Juni 2016 (AS 511 f.) und am 29. Juni 2016 (AS 513) ergänzt wurde.</w:t>
      </w:r>
    </w:p>
    <w:p>
      <w:r>
        <w:rPr>
          <w:b/>
        </w:rPr>
        <w:t>E. 1.1</w:t>
      </w:r>
    </w:p>
    <w:p>
      <w:r>
        <w:t>Die Entschädigung der amtlichen Verteidigerin von A.___, Rechtsanwältin Séverine Haferl, , wird für das erstinstanzliche Verfahren auf CHF 12161.45 (inkl. Auslagen und MwSt.) festgesetzt und ist zufolge amtlicher Verteidigung vom Staat zu zahlen. Vorbehalten bleibt der Rückforderungsanspruch des Staates während 10 Jahren, sobald es die wirtschaftlichen Verhältnisse von A.___ erlauben.</w:t>
      </w:r>
    </w:p>
    <w:p>
      <w:r>
        <w:rPr>
          <w:b/>
        </w:rPr>
        <w:t>E. 1.2</w:t>
      </w:r>
    </w:p>
    <w:p>
      <w:r>
        <w:t>A.___ hat die Kosten des erstinstanzlichen Verfahrens mit einer Ur-teilsgebühr von CHF 4500.00, total CHF 14980.00, zu bezahlen. Diese Summe wird mit dem sichergestellten Bargeldbetrag von CHF 44.00 verrechnet, so dass gegenüber A.___ eine Restforderung von CHF 14936.00 besteht.</w:t>
      </w:r>
    </w:p>
    <w:p>
      <w:r>
        <w:t>2. Der Beschuldigte ist mit seiner Berufung unterlegen. Die Kosten des Berufungsverfahrens gehen deshalb ebenfalls zu seinen Lasten.</w:t>
      </w:r>
    </w:p>
    <w:p>
      <w:r>
        <w:rPr>
          <w:b/>
        </w:rPr>
        <w:t>E. 1.3</w:t>
      </w:r>
    </w:p>
    <w:p>
      <w:r>
        <w:t>Anklageschrift Ziff. 6</w:t>
      </w:r>
    </w:p>
    <w:p>
      <w:r>
        <w:t>Der Beschuldigte entwendete am 11. September 2015 vor dem «[...]shop» in [...] ein Fahrrad und fuhr damit an sein Wohndomizil. Das Fahrrad konnte noch am gleichen Tag durch die Polizei am Domizil des Beschuldigten sichergestellt werden.</w:t>
      </w:r>
    </w:p>
    <w:p>
      <w:r>
        <w:t>In der Einvernahme vom 11. September 2015 führte der Beschuldigte aus, dass er das Fahrrad entwendet habe, um damit nach Hause zu fahren. Danach habe er zum Bahnhof fahren und es dort stehen lassen wollen.</w:t>
      </w:r>
    </w:p>
    <w:p>
      <w:r>
        <w:rPr>
          <w:b/>
        </w:rPr>
        <w:t>E. 1.4</w:t>
      </w:r>
    </w:p>
    <w:p>
      <w:r>
        <w:t>Anklageschrift Ziff. 9.1</w:t>
      </w:r>
    </w:p>
    <w:p>
      <w:r>
        <w:t>Der Beschuldigte verschaffte sich am 21. September 2015, 09:00  10:00 Uhr, Zutritt in die unverschlossene Einzelgarage der Geschädigten an der [...] in [...] und entwendete dort ein Fahrrad. Die Geschädigte meldete die Entwendung am gleichen Tag bei der Polizei. Da der Beschuldigte am 21. September 2015 in unmittelbarer Nähe ([...], vgl. AKS Ziff. 8.1) bereits einen Diebstahl verübt hatte, wurde er auch zu dieser Entwendung befragt. Er gestand die Entwendung ein, das Fahrrad konnte auf dem Vorplatz der Liegenschaft [...], wo der Beschuldigte wohnte, sichergestellt werden (AS 154 ff.).</w:t>
      </w:r>
    </w:p>
    <w:p>
      <w:r>
        <w:t>Anlässlich der Einvernahme vom 21. September 2015 führte der Beschuldigte zuerst aus, er könne aufgrund der Einnahme von Dormicum nicht mit Gewissheit sagen, ob er diese Tat begangen habe. In der Folge gab er zu, er habe das Fahrrad mit einer Seitentasche zum Gebrauch entwendet.</w:t>
      </w:r>
    </w:p>
    <w:p>
      <w:r>
        <w:rPr>
          <w:b/>
        </w:rPr>
        <w:t>E. 1.5</w:t>
      </w:r>
    </w:p>
    <w:p>
      <w:r>
        <w:t>Rechtliche Würdigung</w:t>
      </w:r>
    </w:p>
    <w:p>
      <w:r>
        <w:t>In objektiver Hinsicht setzen alle Tatbestandsvarianten von Art. 94 Abs. 1 SVG vor­aus, dass das Fahrzeug dem Halter gegen seinen Willen entwendet wurde. Der Begriff der Entwendung entspricht demjenigen der Wegnahme gemäss Art. 139 StGB (Diebstahl) und ist in den vorliegenden Fällen zweifellos gegeben: Der Beschuldigte verschaffte sich in allen vier Fällen die tatsächliche Herrschaft über die Fahrräder und verband damit auch den Willen, diese Herrschaft auszuüben (vgl. Philippe Weissenberger, Kommentar Strassenverkehrsgesetz und Ordnungsbussengesetz, 2. Auflage 2015, Art. 94 N 4). Der objektive Tatbestand sowohl von Art. 139 StGB als auch von Art. 94 SVG ist damit in allen vier Fällen erfüllt.</w:t>
      </w:r>
    </w:p>
    <w:p>
      <w:r>
        <w:t>In subjektiver Hinsicht setzt die Anwendung von Art. 94 SVG voraus, dass der Täter in der Absicht handelt, das Fahrzeug nur vorübergehend zu gebrauchen. Handelt er dagegen in Aneignungsabsicht, erfüllt er den Tatbestand des Diebstahls oder der Sachentziehung. Ob eine Gebrauchsentwendung oder eine den Willen des Täters zu dauernder Enteignung voraussetzende Aneignung vorliegt, bestimmt sich nach dem erkennbaren Willen des Täters (Weissenberg, a.a.O., Art. 94 SVG N 4). Ob eine Enteignungsabsicht vorliegt, ergibt sich vielfach aus den Umständen. Auf Enteignungsabsicht ist zu schliessen, wenn Fahrzeuge über einen längeren Zeitraum ohne Anzeichen einer Befristung der Nutzung gebraucht werden (Gerhard Fiolka in: Niggli/Probst/Waldmann [Hrsg.], Basler Kommentar, Strassenverkehrsgesetz, 2014, Art. 94 N 24).</w:t>
      </w:r>
    </w:p>
    <w:p>
      <w:r>
        <w:t>Im vorliegenden Fall ist das Verhalten des Beschuldigten zwischen dem 31. August 2015 und dem 21. September 2015 in seiner Gesamtheit zu betrachten: Am 31. August entwendete er ein erstes Mal ein Fahrrad, welches gleichentags von der Polizei sichergestellt wurde. Nur zwei Tage später entwendete er erneut ein Fahrrad, diesmal von E.___, welches er bis am 10. September 2015 benutzte. Nachdem dieses Fahrrad ebenfalls sichergestellt wurde, entwendete er am nächsten Tag ein drittes Mal ein Fahrrad, dasjenige von F.___, und, nachdem auch dieses am Tattag sichergestellt wurde, ein Viertes am 21. September 2015.</w:t>
      </w:r>
    </w:p>
    <w:p>
      <w:r>
        <w:t>Dem Beschuldigten ging es in der beschriebenen Phase also offensichtlich darum, über ein Fahrrad zu verfügen. Er benutzte das Fahrrad von E.___ während 9 Tagen, bis es von der Polizei sichergestellt wurde. Am nächsten Tag entwendete er das Fahrrad von F.___; hätte die Polizei am Vortag das Fahrrad von E.___ der Geschädigten nicht zurückgegeben, hätte der Beschuldigte kein zweites Fahrrad entwenden müssen und er hätte das Fahrrad von E.___ weiterbenutzt. Der Umstand, dass der Beschuldigte in drei der vier Fälle das entwendete Fahrrad jeweils nur während kurzer Zeit benutzte, hat somit nichts mit seinem Willen, sondern einzig mit der erfolgreichen und schnellen Aufklärungsarbeit der Polizei zu tun. Das Verhalten des Beschuldigten im Falle der Entwendung des Fahrrades von E.___ beweist seinen Aneignungswillen; er gebrauchte das Fahrrad so lange wie möglich, ohne einen erkennbaren Hinweis auf eine lediglich vorübergehende Nutzungsabsicht. Damit ist jedoch in diesem, aber auch in den anderen Fällen in subjektiver Hinsicht der Tatbestand des Diebstahls erfüllt. Der Beschuldigte ist entsprechend schuldig zu sprechen.</w:t>
      </w:r>
    </w:p>
    <w:p>
      <w:r>
        <w:t>2. Die Qualifikation der Gewerbsmässigkeit</w:t>
      </w:r>
    </w:p>
    <w:p>
      <w:r>
        <w:rPr>
          <w:b/>
        </w:rPr>
        <w:t>E. 2</w:t>
      </w:r>
    </w:p>
    <w:p>
      <w:r>
        <w:t>Am 22. April 2016 erfolgte die vorläufige Festnahme des Beschuldigten (AS 533). Am 24. April 2016 ordnete das Haftgericht auf entsprechenden Antrag der Staatsanwaltschaft für die Dauer von drei Monaten Untersuchungshaft an (AS 556 f.).</w:t>
      </w:r>
    </w:p>
    <w:p>
      <w:r>
        <w:rPr>
          <w:b/>
        </w:rPr>
        <w:t>E. 2.1</w:t>
      </w:r>
    </w:p>
    <w:p>
      <w:r>
        <w:t>Die amtliche Verteidigerin des Beschuldigten, Rechtsanwältin Séverine Haferl, macht für das obergerichtliche Verfahren einen Aufwand von 20,76 Stunden geltend (inklusive Teilnahme an der Hauptverhandlung und an der Urteilseröffnung). Dies scheint angemessen. Die Entschädigung ist somit auf die geltend gemachten CHF 4'368.15 festzusetzen (inklusive Auslagen und Mehrwertsteuer von 8 %). Sie ist zahlbar durch den Staat Solothurn, auszahlbar durch die Zentrale Gerichtskasse. Vorbehalten bleibt der Rückforderungsanspruch des Staates während 10 Jahren, sobald es die wirtschaftlichen Verhältnisse des Beschuldigten erlauben. Ein Nachzahlungsanspruch wurde nicht geltend gemacht.</w:t>
      </w:r>
    </w:p>
    <w:p>
      <w:r>
        <w:rPr>
          <w:b/>
        </w:rPr>
        <w:t>E. 2.2</w:t>
      </w:r>
    </w:p>
    <w:p>
      <w:r>
        <w:t>Die Kosten des obergerichtlichen Verfahrens mit einer Urteilsgebühr von CHF 1'500.00, total 1'580.00, gehen zu Lasten von A.___.</w:t>
      </w:r>
    </w:p>
    <w:p>
      <w:r>
        <w:t>Demnach wird in Anwendung der Art. 139 Ziff. 1 i.V.m. Ziff. 2, Art. 139 Ziff. 1 i.V.m. Ziff. 2 und Art. 22 Abs. 1, Art. 144 Abs. 1, Art. 144 Abs. 1 i.V.m. Art. 172ter, Art. 186, Art. 251 Ziff. 1 StGB; Art. 94 Abs. 4 SVG; Art. 19 Abs. 1 und Art. 19a Ziff. 1 BetmG; Art. 47, Art. 49 Abs. 1, Art. 51, Art. 106 StGB; Art. 135, Art. 379 ff., Art. 398 ff. und Art. 416 ff. StPO</w:t>
      </w:r>
    </w:p>
    <w:p>
      <w:r>
        <w:t>erkannt: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Kiefer                                                                                Ramseier</w:t>
      </w:r>
    </w:p>
    <w:p>
      <w:r>
        <w:rPr>
          <w:b/>
        </w:rPr>
        <w:t>E. 2.3</w:t>
      </w:r>
    </w:p>
    <w:p>
      <w:r>
        <w:t>Tatkomponenten</w:t>
      </w:r>
    </w:p>
    <w:p>
      <w:r>
        <w:rPr>
          <w:b/>
        </w:rPr>
        <w:t>E. 2.3.1</w:t>
      </w:r>
    </w:p>
    <w:p>
      <w:r>
        <w:t>Ausmass des verschuldeten Erfolges</w:t>
      </w:r>
    </w:p>
    <w:p>
      <w:r>
        <w:t>Das Bundesgericht misst dem Umstand, dass die Täter in Privatliegenschaften einbrechen, zu Recht eine verschuldenserhöhende Komponente bei, da ein Einbruchdiebstahl für die jeweiligen Liegenschaftsbesitzer einen schweren Eingriff in ihre Privatsphäre bedeutet und regelmässig zu einer einschneidenden und nachhaltigen Verunsicherung, ja gar zur Traumatisierung der Opfer führt (vgl. Urteil des Bundesgerichts 6B_510/2013 vom 3.3.2014). Dies muss auch im vorliegenden Fall gelten, wo der Beschuldigte einen Diebstahl in einer Privatwohnung (Anklageschrift Ziff. 8.1) und zweimal einen Einbruchsversuch in die Kellerräume eines Einfamilienhauses verübte (Anklageschrift Ziff. 16.1 und 18.1). Der Beschuldigte verschaffte sich am Vormittag zwischen 8:45 Uhr und 9:30 Uhr Zutritt in die Wohnung der damals 77jährigen Geschädigten, die zuhause war, und entwendete aus einer Kommode 3 Uhren (AS 142 ff.). Zudem versuchte er, via Keller in ein Einfamilienhaus einzudringen (Anklageschrift Ziff. 18.1); in einem weiteren Fall gelang es dem Beschuldigten, in den Keller eines Einfamilienhauses zu gelangen, ohne dort aber Deliktsgut vorzufinden (Anklageschrift Ziff. 16.1).</w:t>
      </w:r>
    </w:p>
    <w:p>
      <w:r>
        <w:t>Das Deliktsgut war bei den einzelnen Diebstählen jeweils nur gering, in drei Fällen blieb es beim Versuch.</w:t>
      </w:r>
    </w:p>
    <w:p>
      <w:r>
        <w:t>Zu berücksichtigen ist weiter die lange Deliktsdauer.</w:t>
      </w:r>
    </w:p>
    <w:p>
      <w:r>
        <w:rPr>
          <w:b/>
        </w:rPr>
        <w:t>E. 2.3.2</w:t>
      </w:r>
    </w:p>
    <w:p>
      <w:r>
        <w:t>Art und Weise der Herbeiführung dieses Erfolges</w:t>
      </w:r>
    </w:p>
    <w:p>
      <w:r>
        <w:t>Der Beschuldigte handelte jeweils ohne Planung und Vorbereitung, bisweilen geradezu dilettantisch. Wenn sich eine Gelegenheit für einen Diebstahl ergab, nutzte er diese und griff zu, so etwa in den Fällen gemäss Anklageschrift Ziff. 1 (Pakete vor dem Tabakgeschäft), Ziff. 4 (unverschlossenes Fahrrad vor einem Geschäft) oder Ziff. 16 und 17 (Einbruchsversuche auf dem Weg zur Apotheke in [...]).</w:t>
      </w:r>
    </w:p>
    <w:p>
      <w:r>
        <w:rPr>
          <w:b/>
        </w:rPr>
        <w:t>E. 2.3.3</w:t>
      </w:r>
    </w:p>
    <w:p>
      <w:r>
        <w:t>Willensrichtung, mit der der Täter gehandelt hat</w:t>
      </w:r>
    </w:p>
    <w:p>
      <w:r>
        <w:t>Der Beschuldigte handelte mit direktem Vorsatz.</w:t>
      </w:r>
    </w:p>
    <w:p>
      <w:r>
        <w:rPr>
          <w:b/>
        </w:rPr>
        <w:t>E. 2.3.4</w:t>
      </w:r>
    </w:p>
    <w:p>
      <w:r>
        <w:t>Beweggründe des Schuldigen</w:t>
      </w:r>
    </w:p>
    <w:p>
      <w:r>
        <w:t>Der Beschuldigte handelte aus rein materiellen, finanziellen Gründen.</w:t>
      </w:r>
    </w:p>
    <w:p>
      <w:r>
        <w:rPr>
          <w:b/>
        </w:rPr>
        <w:t>E. 2.3.5</w:t>
      </w:r>
    </w:p>
    <w:p>
      <w:r>
        <w:t>Insgesamt ist angesichts des geringen Deliktsgutes sowie dem in den meisten Fällen ungeplanten und unvorbereiteten Vorgehen von einem leichten Tatverschulden auszugehen. Da der Beschuldigte jedoch in einem Fall in eine Privatwohnung eindrang und in zwei Fällen versuchte, in ein Einfamilienhaus einzudringen, muss von einem gerade noch leichten Tatverschulden ausgegangen werden.</w:t>
      </w:r>
    </w:p>
    <w:p>
      <w:r>
        <w:rPr>
          <w:b/>
        </w:rPr>
        <w:t>E. 2.4</w:t>
      </w:r>
    </w:p>
    <w:p>
      <w:r>
        <w:t>Einschränkung der Schuldfähigkeit?</w:t>
      </w:r>
    </w:p>
    <w:p>
      <w:r>
        <w:t>Der Beschuldigte machte anlässlich der Einvernahme zum Diebstahl aus der Wohnung von G.___ (Anklageschrift Ziff. 8.1) geltend, er habe vorher am Bahnhof [...] 3 Tabletten Dormicum gekauft und diese sofort eingenommen; er könne sich nicht an den von ihm verübten Diebstahl erinnern. In der gleichen Einvernahme konnte er sich jedoch an den Fahrraddiebstahl, den er am gleichen Ort und zur gleichen Zeit verübt hatte, erinnern (Anklageschrift Ziff. 9.1; AS 147). Es ist gerichtsnotorisch, dass die Einnahme von Dormicum zu einer Sinnestrübung führen kann; nicht nachvollziehbar ist aber, dass sich der Beschuldigte lediglich an eines von zwei Delikten, die er innerhalb weniger Minuten beging, erinnern kann. Hinzu kommt, dass der Beschuldigte am 21. September 2015 um 12:00 Uhr einvernommen wurde, mithin somit kurz nach der Verübung der erwähnten Delikte. Dem Einvernahmeprotokoll ist nichts zu entnehmen, was auf eine eingeschränkte Wahrnehmung des Beschuldigten hinweisen würde. Von einer Einschränkung der Schuldfähigkeit kann deshalb bei den Delikten vom 21. September 2015 (Anklageschrift Ziff. 8  9) nicht ausgegangen werden (bezüglich dem Delikt Anklageschrift Ziff. 7.1 liess sich der genaue Zeitpunkt nicht eruieren, d.h. dieses Delikt kann der Beschuldigte am 20. oder am 21. September 2015 verübt haben).</w:t>
      </w:r>
    </w:p>
    <w:p>
      <w:r>
        <w:t>Anlässlich der erstinstanzlichen Hauptverhandlung machte der Beschuldigte geltend, dass er sämtliche Delikte an einem Montagmorgen verübt habe, mit einer Ausnahme an einem Freitag. Dies habe seinen Grund darin, dass er jeweils am Montagvormittag um 07:30 Uhr vom Arzt Dormicum erhalten habe; da er das Medikament nicht mehr gewohnt gewesen sei, habe er anschliessend völlig sinnlose Delikte begangen (vor Obergericht sagte der Beschuldigte aus, er habe das Dormicum auf der Gasse gekauft).</w:t>
      </w:r>
    </w:p>
    <w:p>
      <w:r>
        <w:t>Es trifft zu, dass der Beschuldigte mehrere Delikte an einem Montag verübte; neben den erwähnten Vorhalten gemäss Anklageschrift Ziff. 8  9 (allenfalls auch Ziff. 7.1) betrifft dies die Diebstahlsvorhalte gemäss Anklageschrift Ziff. 1.1, 3.1, 10.1, 11, 12.1 und 13. Angesichts dieser Häufung von Delikten am gleichen Wochentag kann der Hinweis des Beschuldigten auf einen Zusammenhang mit dem Konsum von Dormicum nicht von der Hand gewiesen werden. Es trifft entsprechend den Ausführungen im erstinstanzlichen Urteil auch zu, dass das Deliktsgut in einzelnen Fällen darauf hinweist, dass der Beschuldigte zur Tatzeit in seiner Wahrnehmung beeinträchtigt war, so beim Diebstahl von diversem Gartenmaterial (Anklageschrift Ziff. 7.1) und dem Diebstahl von Wäsche aus einer Waschmaschine (Anklageschrift Ziff. 13). Weil sich aber, wie oben erwähnt, aus der Einvernahme vom 21. September 2015 kein Hinweis auf eine eingeschränkte Schuldfähigkeit des Beschuldigten entnehmen lässt, ist eine solche auch für die anderen Delikte nicht generell erstellt. So hat der Beschuldigte auch nicht in sämtlichen dieser Fälle den Einfluss von Dormicum geltend gemacht. In der Einvernahme vom 31. August 2015 (Montag) konnte er sich an den gleichentags verübten Diebstahl erinnern (Anklageschrift Ziff. 3.1); einen Konsum von Dormicum erwähnte er nicht (AS 52). Anlässlich der Befragung zum Diebstahl vom 19. Oktober 2015 (Anklageschrift Ziff. 11.1; AS 187 ff., ebenfalls ein Montag) führte der Beschuldigte am 2. November 2015 zwar aus, sich nicht daran erinnern zu können, führte diesen Umstand aber nicht auf den Konsum von Dormicum zurück. Anlässlich der Einvernahme vom 2. November 2015 zum Diebstahl vom gleichen Tag bei der Regio Energie Solothurn (Anklageschrift Ziff. 12.1) konnte der Beschuldigte den Ablauf der verübten Tat genau schildern (AS 208). Auch bei diesem an einem Montag verübten Delikt machte er keinen Konsum von Dormicum geltend. Andererseits machte der Beschuldigte aber auch geltend, er habe (auch) an anderen Wochentagen Dormicum konsumiert und könne sich deshalb nicht an seine Handlungen erinnern (AS 270: Einvernahme vom 13. Mai 2016, einen Dienstag  15. März 2016  betreffend; Anklageschrift Ziff. 15.1).</w:t>
      </w:r>
    </w:p>
    <w:p>
      <w:r>
        <w:t>Es ist somit nicht erstellt, dass der Beschuldigte bei sämtlichen ihm zur Last gelegten Diebstählen zu Folge Konsum von Dormicum in seiner Schuldfähigkeit eingeschränkt war und deshalb vom Vorliegen eines Strafmilderungsgrundes auszugehen ist. Zu Gunsten des Beschuldigten ist aber der Konsum von Dormicum strafmindernd zu berücksichtigen, soweit er dies in glaubhafter Weise aussagte. Es betrifft dies die Vorhalte gemäss Anklageschrift Ziff. 5, 7.1, 10, 13 und 15, aus den dargelegten Gründen jedoch nicht die Vorhalte gemäss Anklageschrift Ziff. 8  9.</w:t>
      </w:r>
    </w:p>
    <w:p>
      <w:r>
        <w:t>Insgesamt ist damit die Einsatzstrafe für den gewerbsmässigen Diebstahl unter ausschliesslicher Berücksichtigung des leichten Tatverschuldens auf 24 Monate Freiheitsstrafe festzusetzen.</w:t>
      </w:r>
    </w:p>
    <w:p>
      <w:r>
        <w:rPr>
          <w:b/>
        </w:rPr>
        <w:t>E. 2.5</w:t>
      </w:r>
    </w:p>
    <w:p>
      <w:r>
        <w:t>Es ist nun diese Einsatzstrafe für die mit diesen Einbrüchen zusammenhängenden Sachbeschädigungen und Hausfriedensbrüche sowie für die weiteren Delikte angemessen zu erhöhen. Der verursachte Schaden bei den Sachbeschädigungen ist gering. Bei den Hausfriedensbrüchen fällt wiederum das Eindringen in eine Wohnliegenschaft ins Gewicht. Diese Delikte stehen in einem engen Zusammenhang mit dem gewerbsmässigen Diebstahl. Das dadurch begangene Unrecht ist durch die Einsatzstrafe für das schwerste Delikt weitgehend abgegolten. Für diese Delikte erscheint daher eine Straferhöhung von 6 Monaten bzw. unter Berücksichtigung der Asperation um 3 Monate auf 27 Monate Freiheitsstrafe als angemessen.</w:t>
      </w:r>
    </w:p>
    <w:p>
      <w:r>
        <w:rPr>
          <w:b/>
        </w:rPr>
        <w:t>E. 2.6</w:t>
      </w:r>
    </w:p>
    <w:p>
      <w:r>
        <w:t>Weitere Asperationen:</w:t>
      </w:r>
    </w:p>
    <w:p>
      <w:r>
        <w:t>Damit ergibt sich unter Berücksichtigung der Tatkomponenten eine Strafe von 30 Monaten Freiheitsstrafe.</w:t>
      </w:r>
    </w:p>
    <w:p>
      <w:r>
        <w:rPr>
          <w:b/>
        </w:rPr>
        <w:t>E. 2.7</w:t>
      </w:r>
    </w:p>
    <w:p>
      <w:r>
        <w:t>Täterkomponenten</w:t>
      </w:r>
    </w:p>
    <w:p>
      <w:r>
        <w:t>Bezüglich des Vorlebens kann auf die Ausführungen der Vorinstanz verwiesen werden (Urteil S. 52 f.). Der Beschuldigte ist [] geboren und hat eine behütete Jugend in [...] erlebt. Er absolvierte eine Ausbildung zum Bankkaufmann bei der [...] und zog anschliessend nach [...], wo seine Suchtprobleme begannen.</w:t>
      </w:r>
    </w:p>
    <w:p>
      <w:r>
        <w:t>Straferhöhend wirken sich die Vorstrafen des Beschuldigten aus. Gemäss Strafregisterauszug weist er seit dem 28. Februar 2003 10 Vorstrafen auf, insbesondere wegen diverser Vermögensdelikte, Hausfriedensbruchs, Urkundenfälschungen und Widerhandlungen gegen das BetmG. Er wurde bereits mehrfach zu unbedingten Freiheitsstrafen verurteilt, so am 28. Februar 2003 zu 15 Monaten, am 27. August 2010 zu 16 Monaten und am 26. Mai 2014 zu 15 Tagen. Am 6. Februar 2009 wurde er zu einer Freiheitsstrafe von 3 Jahren verurteilt, deren Vollzug zugunsten einer ambulanten Behandlung aufgeschoben wurde.</w:t>
      </w:r>
    </w:p>
    <w:p>
      <w:r>
        <w:t>Zu seinen persönlichen Verhältnissen führte der Beschuldigte anlässlich der Einvernahme vom 2. November 2015 aus, er sei schwer krank; er habe Krebs und habe 16 kg an Gewicht verloren (AS 189). Vor Obergericht erwähnte er dazu, gesundheitlich gehe es ihm jetzt gut, er habe 20 kg zugenommen. Während der Isolation habe er aber drei Lungenentzündungen gehabt; die Lungenkrankheit sei chronisch. Die persönlichen Verhältnisse sind somit neutral zu gewichten. Zum Antrag der Verteidigerin des Beschuldigten vor Obergericht, es sei zu vermuten, dass bei ihm eine dissoziale Persönlichkeitsakzentuierung vorliege, welche im Rahmen der persönlichen Verhältnisse zu seinen Gunsten zu berücksichtigen sei, ist festzuhalten, dass kein ernsthafter Anlass besteht, an der Schuldfähigkeit des Beschuldigten zu zweifeln. Es liegt kein Widerspruch zwischen Tat und Täterpersönlichkeit vor und es ist auch nicht von einem völlig unüblichen Verhalten des Beschuldigten zu sprechen (vgl. Trechsel/Jean-Richard in: Trechsel/Pieth, Schweizerisches Strafgesetzbuch, Praxiskommentar, 2. Auflage 2013, Art. 20 N 2). Eine Begutachtung war deshalb nicht nötig und wurde auch nicht beantragt.</w:t>
      </w:r>
    </w:p>
    <w:p>
      <w:r>
        <w:t>Ebenfalls neutral zu gewichten ist das Verhalten nach der Tat und im Strafverfahren. Der Führungsbericht aus der [] lautet positiv, andererseits ist festzuhalten, dass der Beschuldigte im September 2016 aus der Anstalt entwichen ist (10 Tage später hat er sich wieder gestellt).</w:t>
      </w:r>
    </w:p>
    <w:p>
      <w:r>
        <w:t>Positiv zu werten sind die Entschuldigungen des Beschuldigten bei den Geschädigten, negativ die anhaltende Delinquenz trotz laufendem Verfahren. Eine erhöhte Strafempfindlichkeit ist nicht ersichtlich. Eine Verletzung des Beschleunigungsgebotes ist bei einer Gesamtbetrachtung des Verfahrens nicht zu erkennen.</w:t>
      </w:r>
    </w:p>
    <w:p>
      <w:r>
        <w:t>Aufgrund der Täterkomponenten rechtfertigt sich folglich eine Erhöhung der Strafe um 4 Monate, was zusammenfassend zu einem Strafmass von 34 Monaten führt.</w:t>
      </w:r>
    </w:p>
    <w:p>
      <w:r>
        <w:rPr>
          <w:b/>
        </w:rPr>
        <w:t>E. 2.8</w:t>
      </w:r>
    </w:p>
    <w:p>
      <w:r>
        <w:t>Busse</w:t>
      </w:r>
    </w:p>
    <w:p>
      <w:r>
        <w:t>Die ausgefällte Busse von CHF 400.00, ersatzweise 4 Tage Freiheitsstrafe, für die Übertretungen (Konsum von Betäubungsmitteln, geringfügige Sachbeschädigungen, Entwendung Fahrrad zum Gebrauch) wurde nicht angefochten.</w:t>
      </w:r>
    </w:p>
    <w:p>
      <w:r>
        <w:t>3. Frage der Gewährung des teilbedingten Vollzugs</w:t>
      </w:r>
    </w:p>
    <w:p>
      <w:r>
        <w:rPr>
          <w:b/>
        </w:rPr>
        <w:t>E. 3</w:t>
      </w:r>
    </w:p>
    <w:p>
      <w:r>
        <w:t>Mit Verfügung vom 8. Juli 2016 bewilligte die Staatsanwaltschaft dem Beschuldigten den Antritt des vorzeitigen Strafvollzuges (AS 583).</w:t>
      </w:r>
    </w:p>
    <w:p>
      <w:r>
        <w:t>Am 26. Juli 2016 wurde der Beschuldigte in die [...] versetzt (S-L 91 f.). Am 26. September 2016 entwich der Beschuldigte aus dieser Institution, stellte sich aber am 6. Oktober der Polizei und trat am 8. November 2016 erneut in die Institution ein.</w:t>
      </w:r>
    </w:p>
    <w:p>
      <w:r>
        <w:rPr>
          <w:b/>
        </w:rPr>
        <w:t>E. 3.1</w:t>
      </w:r>
    </w:p>
    <w:p>
      <w:r>
        <w:t>Nach Art. 43 Abs. 1 StGB kann das Gericht den Vollzug einer Freiheitsstrafe von mindestens einem Jahr und höchstens drei Jahren nur teilweise aufschieben, wenn dies notwendig ist, um dem Verschulden des Täters genügend Rechnung zu tragen. Nach Art. 43 Abs. 3 StGB muss dabei sowohl der aufgeschobene als auch der zu vollziehende Teil mindestens sechs Monate betragen und der unbedingte Teil darf die Hälfte der Strafe nicht übersteigen. Grundvoraussetzung für die teilbedingte Strafe im Sinne von Art. 43 StGB ist eine begründete Aussicht auf Bewährung. Dies ergibt sich aus Sinn und Zweck von Art. 43 StGB. Wenn und soweit die Legalprognose des Täters nicht schlecht ausfällt, verlangt die Bestimmung, dass zumindest ein Teil der Strafe auf Bewährung ausgesetzt wird. Umgekehrt gilt, dass bei einer Schlechtprognose auch ein bloss teilweiser Aufschub der Strafe nicht gerechtfertigt ist. Denn wo keinerlei Aussicht besteht, der Täter werde sich in irgendeiner Weise durch den  ganz oder teilweise  gewährten Strafaufschub beeinflussen lassen, muss die Strafe in voller Länge vollzogen werden (BGE 134 IV 1 E. 5.3.1 S. 10 mit Hinweisen).</w:t>
      </w:r>
    </w:p>
    <w:p>
      <w:r>
        <w:t>Die Prüfung der Bewährungsaussichten des Täters ist anhand einer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Sozialisationsbiografie und Arbeitsverhalten, das Bestehen sozialer Bindungen, Hinweise auf Suchtgefährdungen usw. Dabei sind die persönlichen Verhältnisse bis zum Zeitpunkt des Entscheides miteinzubeziehen (BGE 134 IV 140 E. 4.4 S. 143 mit Hinweisen; Urteil des Bundesgerichts 6B_1036/2009, E. 1.4).</w:t>
      </w:r>
    </w:p>
    <w:p>
      <w:r>
        <w:rPr>
          <w:b/>
        </w:rPr>
        <w:t>E. 3.2</w:t>
      </w:r>
    </w:p>
    <w:p>
      <w:r>
        <w:t>Es wird zudem festgestellt, dass der Tatbestand des Diebstahls auch bezüglich der Anklageschrift Ziffern 3 (Diebstahl eines Fahrrades), 4, 6 und 9.1 erfüllt ist.</w:t>
      </w:r>
    </w:p>
    <w:p>
      <w:r>
        <w:rPr>
          <w:b/>
        </w:rPr>
        <w:t>E. 3.3</w:t>
      </w:r>
    </w:p>
    <w:p>
      <w:r>
        <w:t>Der Beschuldigte wurde am 27. August 2010 vom Bezirksgericht Zürich zu einer Freiheitsstrafe von 16 Monaten verurteilt. Damit wurde der Beschuldigte innerhalb von 5 Jahren seit dem ersten Diebstahl vom 22. Juni 2015 (Anklageschrift Ziff. 1) zu einer Strafe von mehr als 6 Monaten Freiheitsstrafe verurteilt. «Besonders günstige Verhältnisse» i.S. von Art. 42 Abs. 2 StGB liegen offensichtlich nicht vor. Vorliegend muss zudem klar von einer schlechten Prognose ausgegangen werden, vorab aufgrund der zahlreichen einschlägigen Vorstrafen und der anhaltenden Delinquenz trotz laufendem Strafverfahren. Aber auch andere Faktoren sprechen gegen eine gute Prognose (Suchtproblematik, fehlendes Bestehen sozialer Bindungen). Der teilbedingte Vollzug kann nicht gewährt werden.</w:t>
      </w:r>
    </w:p>
    <w:p>
      <w:r>
        <w:t>4. Anrechnung Untersuchungshaft</w:t>
      </w:r>
    </w:p>
    <w:p>
      <w:r>
        <w:t>Gemäss rechtskräftiger Ziffer 4 des Urteils des Amtsgerichts von Solothurn-Lebern vom 21. März 2017 werden dem Beschuldigten 333 Tage Untersuchungshaft resp. vorzeitiger Strafvollzug an die Freiheitsstrafe angerechnet. Zusätzlich ist ihm der vorzeitige Strafvollzug bis zur heutigen Hauptverhandlung an die Freiheitsstrafe anzurechnen.</w:t>
      </w:r>
    </w:p>
    <w:p>
      <w:r>
        <w:t>5. Verbleib im vorzeitigen Strafvollzug</w:t>
      </w:r>
    </w:p>
    <w:p>
      <w:r>
        <w:t>Der Beschuldigte wird zur Sicherung des restlichen Strafvollzuges weiterhin im vorzeitigen Strafvollzug belassen.</w:t>
      </w:r>
    </w:p>
    <w:p>
      <w:r>
        <w:t>IV.       Kosten</w:t>
      </w:r>
    </w:p>
    <w:p>
      <w:r>
        <w:t>1. Der erstinstanzliche Entscheid bezüglich Kosten und Entschädigung ist zu bestätigen.</w:t>
      </w:r>
    </w:p>
    <w:p>
      <w:r>
        <w:rPr>
          <w:b/>
        </w:rPr>
        <w:t>E. 4</w:t>
      </w:r>
    </w:p>
    <w:p>
      <w:r>
        <w:t>Die Anklageschrift datiert vom 8. Juli 2016 (AS 1 ff.). Unmittelbar vor der erstinstanzlichen Hauptverhandlung wurde sie von der Staatsanwaltschaft mit Datum vom 20. März 2017 bezüglich der Anklageziffern 18.1 und 18.2 präzisiert (S-L 101).</w:t>
      </w:r>
    </w:p>
    <w:p>
      <w:r>
        <w:rPr>
          <w:b/>
        </w:rPr>
        <w:t>E. 5</w:t>
      </w:r>
    </w:p>
    <w:p>
      <w:r>
        <w:t>Am 21. März 2017 fällte das Amtsgericht Solothurn-Lebern folgendes Urteil (S-L 165 ff.):</w:t>
      </w:r>
    </w:p>
    <w:p>
      <w:r>
        <w:rPr>
          <w:b/>
        </w:rPr>
        <w:t>E. 6</w:t>
      </w:r>
    </w:p>
    <w:p>
      <w:r>
        <w:t>Der Beschuldigte meldete gegen dieses Urteil am 22. März 2017 die Berufung an (S-L 184, 187).</w:t>
      </w:r>
    </w:p>
    <w:p>
      <w:r>
        <w:rPr>
          <w:b/>
        </w:rPr>
        <w:t>E. 7</w:t>
      </w:r>
    </w:p>
    <w:p>
      <w:r>
        <w:t>Gemäss Berufungserklärung vom 29. Juni 2017 richtet sich die Berufung gegen folgende Ziffern des erstinstanzlichen Urteils:</w:t>
      </w:r>
    </w:p>
    <w:p>
      <w:r>
        <w:t>Der Beschuldigte verlangt eine Reduktion der unbedingten Freiheitsstrafe auf 20 Monate.</w:t>
      </w:r>
    </w:p>
    <w:p>
      <w:r>
        <w:rPr>
          <w:b/>
        </w:rPr>
        <w:t>E. 8</w:t>
      </w:r>
    </w:p>
    <w:p>
      <w:r>
        <w:t>Sowohl von Seiten der Staatsanwaltschaft als auch der Privatkläger wurde weder eine Berufung noch eine Anschlussberufung erklärt.</w:t>
      </w:r>
    </w:p>
    <w:p>
      <w:r>
        <w:rPr>
          <w:b/>
        </w:rPr>
        <w:t>E. 9</w:t>
      </w:r>
    </w:p>
    <w:p>
      <w:r>
        <w:t>Vor Obergericht beantragte die amtliche Verteidigerin, der Beschuldigte sei vom Vorwurf der geringfügigen Diebstähle zum Nachteil von C.___ und D.___ freizusprechen. Diesbezüglich ist indessen festzuhalten, dass in der Berufungserklärung vom 29. Juni 2017 lediglich die Gewerbsmässigkeit der Diebstähle angefochten, ohne Einschränkung eine Verurteilung wegen mehrfachen Diebstahls und teilweise versuchten Diebstahls beantragt und kein Antrag auf Freispruch von den genannten Vorhalten gestellt wurde. Es ist daher davon auszugehen, dass die Vorhalte gemäss AKS Ziff. 11.1 und 14 in Rechtskraft erwachsen sind.</w:t>
      </w:r>
    </w:p>
    <w:p>
      <w:r>
        <w:t>In Rechtskraft erwachsen und nicht Gegenstand des Berufungsverfahrens sind damit folgende Ziffern des erstinstanzlichen Urteils:</w:t>
      </w:r>
    </w:p>
    <w:p>
      <w:r>
        <w:rPr>
          <w:b/>
        </w:rPr>
        <w:t>E. 10</w:t>
      </w:r>
    </w:p>
    <w:p>
      <w:r>
        <w:t>Die Berufungsverhandlung fand am 28. November 2017 statt.</w:t>
      </w:r>
    </w:p>
    <w:p>
      <w:r>
        <w:t>II. Der Vorhalt des gewerbsmässigen Diebstahls</w:t>
      </w:r>
    </w:p>
    <w:p>
      <w:r>
        <w:t>1. Die Entwendung von Fahrrädern</w:t>
      </w:r>
    </w:p>
    <w:p>
      <w:r>
        <w:t>Der Beschuldigte beantragt mit der Berufung eine Verurteilung wegen mehrfacher Entwendung eines Fahrrads zum Gebrauch. Angefochten sind damit die Schuldsprüche bezüglich der Anklageschrift Ziff. 3, 4, 6 und 9.1, bei denen die Vorinstanz den Tatbestand des Diebstahls jeweils bejaht hat.</w:t>
      </w:r>
    </w:p>
    <w:p>
      <w:r>
        <w:t>Im Einzelnen ist folgendes festzuhalten:</w:t>
      </w:r>
    </w:p>
    <w:p>
      <w:r>
        <w:rPr>
          <w:b/>
        </w:rPr>
        <w:t>E. 11</w:t>
      </w:r>
    </w:p>
    <w:p>
      <w:r>
        <w:t>Die Entschädigung der amtlichen Verteidigerin von A.___, Rechtsanwältin Séverine Haferl, wird auf CHF 12‘161.45 (Honorar 56.54 Stunden à CHF 180.00, ausmachend CHF 10‘177.20, Auslagen CHF 1‘083.40 und 8% MWST CHF 900.85) festgesetzt und ist zufolge amtlicher Verteidigung vom Staat zu zahlen. Vorbehalten bleibt der Rückforderungsanspruch des Staates während 10 Jahren, sobald es die wirtschaftlichen Verhältnisse von A.___ erlauben.</w:t>
      </w:r>
    </w:p>
    <w:p>
      <w:r>
        <w:rPr>
          <w:b/>
        </w:rPr>
        <w:t>E. 12</w:t>
      </w:r>
    </w:p>
    <w:p>
      <w:r>
        <w:t>Die Entschädigung der amtlichen Verteidigerin von A.___, Rechtsanwältin Séverine Haferl, wird für das erstinstanzliche Verfahren auf CHF 12‘161.45 (inkl. Auslagen und MwSt.) festgesetzt und ist zufolge amtlicher Verteidigung vom Staat zu zahlen. Vorbehalten bleibt der Rückforderungsanspruch des Staates während 10 Jahren, sobald es die wirtschaftlichen Verhältnisse von A.___ erlauben.</w:t>
      </w:r>
    </w:p>
    <w:p>
      <w:r>
        <w:rPr>
          <w:b/>
        </w:rPr>
        <w:t>E. 13</w:t>
      </w:r>
    </w:p>
    <w:p>
      <w:r>
        <w:t>A.___ hat die Kosten des erstinstanzlichen Verfahrens mit einer Urteilsgebühr von CHF 4‘500.00, total CHF 14‘980.00, zu bezahlen. Diese Summe wird mit dem sichergestellten Bargeldbetrag von CHF 44.00 verrechnet (vgl. Ziffer 11), so dass gegenüber A.___ eine Restforderung von CHF 14‘936.00 besteht.</w:t>
      </w:r>
    </w:p>
    <w:p>
      <w:r>
        <w:rPr>
          <w:b/>
        </w:rPr>
        <w:t>E. 14</w:t>
      </w:r>
    </w:p>
    <w:p>
      <w:r>
        <w:t>Die Entschädigung der amtlichen Verteidigerin von A.___, Rechtsanwältin Séverine Haferl, wird für das obergerichtliche Verfahren auf CHF 4'368.15 (inkl. Auslagen und MwSt.) festgesetzt und ist zufolge amtlicher Verteidigung vom Staat zu zahlen. Vorbehalten bleibt der Rückforderungsanspruch des Staates während 10 Jahren, sobald es die wirtschaftlichen Verhältnisse von A.___ erlauben.</w:t>
      </w:r>
    </w:p>
    <w:p>
      <w:r>
        <w:rPr>
          <w:b/>
        </w:rPr>
        <w:t>E. 15</w:t>
      </w:r>
    </w:p>
    <w:p>
      <w:r>
        <w:t>Die Kosten des obergerichtlichen Verfahrens mit einer Urteilsgebühr von CHF 1'500.00, total 1'580.00, gehen zu Lasten von A.___.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Die Gerichtsschreiberin Kiefer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