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SGSTA.2023.48 vom 18. März 2024</w:t>
      </w:r>
    </w:p>
    <w:p>
      <w:r>
        <w:t>SO Obergericht, 2024-03-18, DE</w:t>
      </w:r>
    </w:p>
    <w:p>
      <w:r>
        <w:rPr>
          <w:b/>
        </w:rPr>
        <w:t xml:space="preserve">Quelle: </w:t>
      </w:r>
      <w:r>
        <w:t>https://mcp.opencaselaw.ch/entscheid/so_gerichte_SGSTA.2023.48</w:t>
      </w:r>
    </w:p>
    <w:p>
      <w:r>
        <w:t>FR: SO_GERICHTE SGSTA.2023.48 du 18 mars 2024</w:t>
      </w:r>
    </w:p>
    <w:p>
      <w:r>
        <w:t>IT: SO_GERICHTE SGSTA.2023.48 del 18 marzo 2024</w:t>
      </w:r>
    </w:p>
    <w:p>
      <w:pPr>
        <w:pStyle w:val="Heading2"/>
      </w:pPr>
      <w:r>
        <w:t>Erwägungen</w:t>
      </w:r>
    </w:p>
    <w:p>
      <w:r>
        <w:rPr>
          <w:b/>
        </w:rPr>
        <w:t>E. 43</w:t>
      </w:r>
    </w:p>
    <w:p>
      <w:r>
        <w:t>Abs. 1 lit. a StG; vgl. auch «Solothurner Steuerbuch», Steuersätze, § 44 Nr. 1, Ziff. 2 [Fallkonstellationen]). 2.5   Folgedessen ist in erster Linie auf die Vergleichsrechnung der Veranlagungsbehörde in ihrer Stellungnahme vom 17. November 2023 abzustellen, worin zunächst festgehalten wird, in Bezug auf die Kantons- und Gemeindesteuern im Vergleich mit Alleinstehenden (ohne Kinder) ergebe sich für die Rekurrenten eine Mehrbelastung von gerade einmal 1.06 %. Dies wird von den Rekurrenten auch nicht bestritten. In dieser Hinsicht erweist sich der Rekurs demnach von Vornherein als unbegründet, zumal zwar eine minime Mehrbelastung vorliegt, diese jedoch weit unter der vom Bundesgericht festgelegten und noch tolerierbaren Grenze von 10 % liegt. 2.6   Betreffend die direkte Bundessteuer errechnet sich im konkreten Fall gegenüber einer Besteuerung von Alleinstehenden für die Rekurrenten eine Mehrbelastung von 76.06 %, deren Ursache einzig in der Eheschliessung zu sehen ist. Es liegt damit ein klassischer Fall einer sogenannten «Heiratsstrafe» vor. 2.7   Selbst das Bundesgericht anerkennt in dieser Hinsicht regelmässig eine sachlich nicht gerechtfertigte Ungleichbehandlung, die sich jedoch letztlich auf Art. 11 StHG und Art. 36 DBG, und damit auf Bundesrecht, stütze (vgl. Urteil des Bundesgerichts 2A.651/2004 vom 19.11.2004, E. 3). Im entsprechenden Zusammenhang verweist das Bundesgericht sodann in ständiger Rechtsprechung auch auf die Massgeblichkeit der Bundesgesetze: Alle Staatsorgane sind an das Recht gebunden (Art. 5 Abs. 1 der Bundesverfassung, BV; SR 101). Auch die richterliche Unabhängigkeit bedeutet keine Freistellung vom Recht (Art. 191c BV). Art. 5 Abs. 1 und Art. 191c BV stellen verfassungsrechtliche Statuierungen des Grundsatzes der Achtung der Normhierarchie dar. Jede rechtsanwendende Behörde hat deswegen vorfrageweise die Gültigkeit einer für den Fall einschlägigen Norm zu überprüfen resp. ihre Vereinbarkeit mit dem übergeordneten Recht. Die Massgeblichkeitsregel zielt daher auf mehr als die im Rechtsstaat selbstverständliche Bindung an das Recht. Letztere ergibt sich bereits aus dem erwähnten Gesetzesvorrang in Art. 5 Abs. 1 BV, soweit das Gesetzesrecht mit dem übergeordneten Recht übereinstimmt. Die Massgeblichkeit der Bundesgesetze bedeutet nun, dass bundesgesetzliche Regelungen grundsätzlich zu befolgen sind, wie auch immer sie rechtlich eingeschätzt werden. Dem Rechtsanwender ist es also verwehrt, Bundesgesetze die Anwendung unter Berufung auf eine juristisch begründete Verfassungswidrigkeit zu versagen resp. sie zu korrigieren (BGE 138 II 440 E. 4, 444). Im Rahmen der Rechtsanwendung kann sich somit der materiell-rechtliche Geltungsvorrang der Bundesverfassung gegenüber Bundesgesetzen nicht durchsetzen und es besteht keine gerichtliche Sanktionsmöglichkeit gegenüber verfassungswidrigen Bundesgesetzen. Der Anwendungsbereich des Gesetzmässigkeitsprinzips und damit der Schutz der legislativen Tätigkeit werden deswegen insofern ausgedehnt, als im konkreten Anwendungsfall der Einwand der Verfassungswidrigkeit als Schranke des Gesetzesvorrangs nicht greift und somit Bundesgesetze einen verfahrensrechtlichen Anwendungsvorrang gegenüber der Bundesverfassung geniessen (vgl. zum Ganzen: Looser , St. Galler Kommentar zu Art. 190 BV N 4-5, mit diversen Hinweisen). Das skizzierte Anwendungsgebot ist selbst der Disposition des Bundesgerichts entzogen, weshalb es auch ihm verwehrt ist, Art. 190 BV in eigenständiger Kompetenz zurückzudrängen und über die Vereinbarkeit von Art. 36 DBG mit Art. 8 Abs. 1 BV zu befinden. Sodann ist der Gesetzestext von Art. 9 und 36 DBG klar, so dass eine verfassungskonforme Auslegung nicht in Betracht kommt (vgl. Urteil des Bundesgerichts 2C_616/2020 vom 07.08.2020 E. 3.4, mit weiteren Hinweisen, insbesondere auf Urteil des Bundesgerichts 2A.651/2004 vom 19.11.2004, E. 3). 2.8   Nach Gesagtem lässt sich abschliessend festhalten, dass die Rekurrenten als verheiratete Doppelverdiener bezüglich der direkten Bundessteuer einer sachlich nicht gerechtfertigten Ungleichbehandlung ausgesetzt sind. Die Abschaffung oder zumindest Milderung dieser sog. «Heiratsstrafe» ist auf politischer Ebene seit Jahren immer wieder ein stark umstrittenes Thema, wobei von den unterschiedlichen politischen Lagern bis anhin kein einvernehmlicher Lösungsansatz gefunden werden konnte. Gefordert ist letztlich jedoch der Gesetzgeber, zumal den rechtsanwendenden Behörden, mithin auch dem Kantonalen Steuergericht, die Hände gebunden sind und sie sich trotz der festgestellten Verfassungswidrigkeit an die geltende Gesetzgebung zu halten haben. Demgemäss ist auch die Beschwerde gegen die direkte Bundessteuer vorliegend im Endergebnis abzuweisen. 3.    Bei diesem Verfahrensausgang haben die unterliegenden Rekurrenten die Kosten zu tragen (§ 163 Abs. 1 StG). Diese sind in Anwendung der §§ 3 und 150 des Gebührentarifs (BGS 615.11) auf CHF 750 festzusetzen (Grundgebühr; kein Zuschlag).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