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SGSTA.2023.18 vom 21. Oktober 2024</w:t>
      </w:r>
    </w:p>
    <w:p>
      <w:r>
        <w:t>SO Obergericht, 2024-10-21, DE</w:t>
      </w:r>
    </w:p>
    <w:p>
      <w:r>
        <w:rPr>
          <w:b/>
        </w:rPr>
        <w:t xml:space="preserve">Quelle: </w:t>
      </w:r>
      <w:r>
        <w:t>https://mcp.opencaselaw.ch/entscheid/so_gerichte_SGSTA.2023.18</w:t>
      </w:r>
    </w:p>
    <w:p>
      <w:r>
        <w:t>FR: SO_GERICHTE SGSTA.2023.18 du 21 octobre 2024</w:t>
      </w:r>
    </w:p>
    <w:p>
      <w:r>
        <w:t>IT: SO_GERICHTE SGSTA.2023.18 del 21 ottobre 2024</w:t>
      </w:r>
    </w:p>
    <w:p>
      <w:pPr>
        <w:pStyle w:val="Heading2"/>
      </w:pPr>
      <w:r>
        <w:t>Erwägungen</w:t>
      </w:r>
    </w:p>
    <w:p>
      <w:r>
        <w:rPr>
          <w:b/>
        </w:rPr>
        <w:t>E. 2</w:t>
      </w:r>
    </w:p>
    <w:p>
      <w:r>
        <w:t>, wobei sich die Rekurrenten, soweit ersichtlich, nicht gegen diese Annahme stellen und diese als vertretbar erscheint. Es resultiert hieraus ein auf die dauernde Wohnnutzung entfallender und für den Aufschub qualifizierender Anteil am Erwerbspreis von CHF 543'154, welcher die Vorinstanz aufgrund der darin enthaltenen Unschärfen ermessensweise auf CHF 550'000 erhöht hat. Der für die Ersatzbeschaffung qualifizierende Anteil beträgt demnach je Rekurrent CHF 275'000. Die sich daraus ergebende schematische Berechnung des Grundstückgewinns von CHF 182'400 gibt zu keinen Bemerkungen Anlass und ist korrekt. 4.    Entsprechend den obigen Ausführungen erweisen sich die Rekurse insgesamt als unbe-gründet und sind abzuweisen, soweit darauf einzutreten ist. Die Kosten des Verfahrens von insgesamt CHF 3'800 (Grundgebühr: CHF 2'000; Zuschlag: CHF 1'800; vgl. §§ 3 und 150 des Gebührentarifs, BGS 615.11) sind den Rekurrenten unter solidarischer Haftbarkeit zur Bezahlung aufzuerlegen.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