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SGSTA.2021.20 vom 22. November 2021</w:t>
      </w:r>
    </w:p>
    <w:p>
      <w:r>
        <w:t>SO Obergericht, 2021-11-22, DE</w:t>
      </w:r>
    </w:p>
    <w:p>
      <w:r>
        <w:rPr>
          <w:b/>
        </w:rPr>
        <w:t xml:space="preserve">Quelle: </w:t>
      </w:r>
      <w:r>
        <w:t>https://mcp.opencaselaw.ch/entscheid/so_gerichte_SGSTA.2021.20</w:t>
      </w:r>
    </w:p>
    <w:p>
      <w:r>
        <w:t>FR: SO_GERICHTE SGSTA.2021.20 du 22 novembre 2021</w:t>
      </w:r>
    </w:p>
    <w:p>
      <w:r>
        <w:t>IT: SO_GERICHTE SGSTA.2021.20 del 22 novembre 2021</w:t>
      </w:r>
    </w:p>
    <w:p>
      <w:pPr>
        <w:pStyle w:val="Heading2"/>
      </w:pPr>
      <w:r>
        <w:t>Regeste</w:t>
      </w:r>
    </w:p>
    <w:p>
      <w:r>
        <w:t>Einkommen, Eigenmietwert, § 27 lit. b, § 28 StG, Art. 21 Abs. 1 lit. b, Art. 21 Abs. 2 DBG.In casu Gebäude durchschnittlicher Art, früher tieferer, aber falscher Eigenmietwert besteuert, Vorrang der Rechtssicherheit und Rechtsgleichheit vor Vertrauensschutz.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Aufl., Zürich 2016, VB zu Art. 109-121 N 95). Rekurs und Beschwerde erweisen sich demnach als unbegründet und sind daher abzuweisen. 4.    Bei diesem Verfahrensausgang haben die Rekurrenten die Kosten zu tragen. Diese sind in Anwendung der §§ 3 und 149 des Gebührentarifs (BGS 615.11) auf CHF 520 festzusetzen (Grundgebühr: CHF 500; Zuschlag: CHF 20). ****************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