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SGSTA.2021.16 vom 22. April 2021</w:t>
      </w:r>
    </w:p>
    <w:p>
      <w:r>
        <w:t>SO Obergericht, 2021-04-22, DE</w:t>
      </w:r>
    </w:p>
    <w:p>
      <w:r>
        <w:rPr>
          <w:b/>
        </w:rPr>
        <w:t xml:space="preserve">Quelle: </w:t>
      </w:r>
      <w:r>
        <w:t>https://mcp.opencaselaw.ch/entscheid/so_gerichte_SGSTA.2021.16</w:t>
      </w:r>
    </w:p>
    <w:p>
      <w:r>
        <w:t>FR: SO_GERICHTE SGSTA.2021.16 du 22 avril 2021</w:t>
      </w:r>
    </w:p>
    <w:p>
      <w:r>
        <w:t>IT: SO_GERICHTE SGSTA.2021.16 del 22 aprile 2021</w:t>
      </w:r>
    </w:p>
    <w:p>
      <w:pPr>
        <w:pStyle w:val="Heading2"/>
      </w:pPr>
      <w:r>
        <w:t>Regeste</w:t>
      </w:r>
    </w:p>
    <w:p>
      <w:r>
        <w:t>Verfahren, Amtspflichten, Mitwirkungspflichten, Ermessensveranlagung, § 127 Abs. 1, § 142, § 149 Abs. 4 StG, Art. 123 Abs. 1, Art. 126 Abs. 1, Art. 132 Abs. 3 DBG.In casu nur Teilnachweise, keine korrekte Jahresrechnung, kein Kassabuch, unbegründete Warenbezüge, keine hinreichenden Nachweise.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Verfahrensausgang hat die Rekurrentin die Kosten zu tragen. Diese sind in Anwendung der §§ 3 und 150 des Gebührentarifs (BGS 615.11) auf CHF 1'985 festzusetzen (Grundgebühr: CHF 750; Zuschläge: CHF 897 betr. Gewinn und CHF 338 betr. Kapital). ****************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