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SGSTA.2021.11 vom 22. November 2021</w:t>
      </w:r>
    </w:p>
    <w:p>
      <w:r>
        <w:t>SO Obergericht, 2021-11-22, DE</w:t>
      </w:r>
    </w:p>
    <w:p>
      <w:r>
        <w:rPr>
          <w:b/>
        </w:rPr>
        <w:t xml:space="preserve">Quelle: </w:t>
      </w:r>
      <w:r>
        <w:t>https://mcp.opencaselaw.ch/entscheid/so_gerichte_SGSTA.2021.11</w:t>
      </w:r>
    </w:p>
    <w:p>
      <w:r>
        <w:t>FR: SO_GERICHTE SGSTA.2021.11 du 22 novembre 2021</w:t>
      </w:r>
    </w:p>
    <w:p>
      <w:r>
        <w:t>IT: SO_GERICHTE SGSTA.2021.11 del 22 novembre 2021</w:t>
      </w:r>
    </w:p>
    <w:p>
      <w:pPr>
        <w:pStyle w:val="Heading2"/>
      </w:pPr>
      <w:r>
        <w:t>Regeste</w:t>
      </w:r>
    </w:p>
    <w:p>
      <w:r>
        <w:t>Verfahren, Ermessensveranlagung, § 147 Abs. 2 StG, Art. 130 Abs. 2 DBG.In casu trotz zahlreicher Eingaben keine beweiskräftige Buchhaltung, keine Ver-letzung des rechtlichen Gehörs, kein Ermessensmissbrauch.</w:t>
      </w:r>
    </w:p>
    <w:p>
      <w:pPr>
        <w:pStyle w:val="Heading2"/>
      </w:pPr>
      <w:r>
        <w:t>Erwägungen</w:t>
      </w:r>
    </w:p>
    <w:p>
      <w:r>
        <w:rPr>
          <w:b/>
        </w:rPr>
        <w:t>E. 2</w:t>
      </w:r>
    </w:p>
    <w:p>
      <w:r>
        <w:t>Juli 2018 eine Buchprüfung angekündigt wurde, baten die Rekurrenten/Beschwerdeführer mehrfach um Fristerstreckung und reichten schliesslich am 1. Juli 2019 und damit ein gutes Jahr nach Einreichung der Steuererklärung den finalen Jahresabschluss ein. Dabei gilt es zu betonen, dass in dieser Zeit insgesamt drei Jahresrechnungen für die Arztpraxis eingereicht wurden, die sich alle drei allein schon hinsichtlich des Umsatzes (CHF 437'214.69 / CHF 427'768.- / CHF 375'040.-) massiv unterscheiden. 4.2  Im Einspracheentscheid der Rekursgegnerin/Beschwerdegegnerin vom 16. August 2019 wurden den Rekurrenten/Beschwerdeführern die Grundsätze ordnungsgemässer Buchführung sowie deren Bedeutung für die Bestimmung des Einkommens aus selbständiger Erwerbstätigkeit aufgezeigt (s. Erwägung 2 und 3). Der Einspracheentscheid vom 16. August 2019 befasste sich auch mit der am 1. Juli 2019 nachgereichten Jahresrechnung 2019. In Erwägung 10 hielt die Rekursgegnerin/Beschwerdegegnerin ausdrücklich fest, dass mit der Eingabe vom 1. Juli 2019 auch neue Listen zu den Einnahmen eingereicht worden seien, und weiter: «Die Rechnungsnummern sind zwar aufsteigend, aber nicht fortlaufend. Zudem sind die dazugehörenden Rechnungsdaten nicht chronologisch und teilweise doppelt vergeben. Deshalb kann die Vollständigkeit des Umsatzes nach wie vor nicht überprüft werden.» Damit kannten die Rekurrenten/Beschwerdeführer spätestens mit Erhalt des Einspracheentscheides vom 16. August 2019 die Gründe, weshalb die Beweiskraft der Buchhaltung auch mit den am 1. Juli 2019 nachgereichten Unterlagen nach Ansicht der Rekursgegnerin/Beschwerdegegnerin nicht wiederhergestellt werden könne. Die Rekurrenten/Beschwerdeführer hatten in der Folge zunächst im ersten Verfahren vor dem Steuergericht des Kantons Solothurn (SGSTA.2019.54; BST.2019.50) und dann nochmals anlässlich der Anhörung vom 25. Februar 2021 Gelegenheit, den am 1. Juli 2019 nachgereichten, 3. Jahresabschluss 2017 zu erläutern und zu korrigieren. Die Mängel der Buchführung waren ihnen - wie aufgezeigt - schliesslich bekannt. Die Beweismittel in Zusammenhang mit dem ELIGO-Programm oder dem Krankenkassenverband SantéSuisse, hätten allerspätestens anlässlich der Anhörung vom 25. Februar 2021 offeriert werden müssen. Die Rekurrenten/Beschwerdeführer taten dies trotz gewährtem rechtlichen Gehör anlässlich der Anhörung vom 25. Februar 2021 aber nicht, wodurch sie im Endeffekt ihrer Mitwirkungspflicht nicht nachgekommen sind, jedenfalls aber ihre diesbezüglichen Ansprüche auf rechtliches Gehör verwirkt haben. 4.3  Laut dem von den Rekurrenten/Beschwerdeführern eigenhändig unterzeichneten Anhörungsprotokoll vom 25. Februar 2021 seien die ersten beiden Jahresrechnungen bzw. Buchhaltungsunterlagen eingestandenermassen «nicht sauber geführt» worden. Sie halten lediglich an den am 1. Juli 2019 auf dem Postweg nachgereichten Unterlagen fest, womit die Buchhaltung vollständig eingereicht worden sei. Sie räumten laut diesem Anhörungsprotokoll weiter ein, der «3. Abschluss sei aufwandseitig gemäss den Feststellungen der Buchprüfung korrigiert worden. Die Einnahmen seien nach dem Leistungserstellungsprinzip verbucht und die Listen vollständig eingereicht worden. Die Debitorensumme, welche vorher nur ungefähr war, konnte nun anhand einer Excel-Tabelle richtiggestellt werden. Sämtliche Rechnungen beziehen sich auf die Steuerperiode, in der die Leistungen erbracht wurden, inkl. der nicht bezahlten Rechnungen per 31.12.2017.» Weitere Ausführungen zur Jahresrechnung 2017 machten die Rekurrenten/Beschwerdeführer anlässlich der Anhörung vom 25. Februar 2021 keine. 4.4  Dem Anspruch auf rechtliches Gehör gemäss Art. 29 Abs. 2 BV wurde somit zu Genüge Rechnung getragen. Entgegen der Meinung der Rekurrenten/Beschwerdeführer leitet sich aus dem Grundsatz des rechtlichen Gehörs keine allgemeine Pflicht der Behörde ab, ihre Rechtsauffassung vor Fällung eines Entscheides bekannt zu geben ( Richner et al., Handkommentar zum DBG,</w:t>
      </w:r>
    </w:p>
    <w:p>
      <w:r>
        <w:rPr>
          <w:b/>
        </w:rPr>
        <w:t>E. 3</w:t>
      </w:r>
    </w:p>
    <w:p>
      <w:r>
        <w:t>Auflage 2016, Art. 114 N 8). 5.1  Gemäss Art. 18 Abs. 1 DBG und § 23 Abs. 1 StG sind alle Einkünfte aus einem Handels-, Industrie-, Gewerbe-, Land- und Forstwirtschaftsbetrieb, aus einem freien Beruf sowie aus jeder anderen selbständigen Erwerbstätigkeit steuerbar. Grundlage für die Bestimmung des Einkommens aus selbständiger Erwerbstätigkeit bildet die nach obligationenrechtlichen Bestimmungen ordnungsgemäss geführte und abgeschlossene Buchhaltung. 5.2  Gemäss Art. 957 Abs. 3 i.V.m. Abs. 2 lit. a OR (Obligationenrecht, SR 220) gelten für Einzelunternehmen mit einem Umsatz von weniger als CHF 500'000.- im letzten Geschäftsjahr die in Art. 957a OR kodifizierten Grundsätze ordungsgemässer Buchführung sinngemäss. Als solche Grundsätze sind namentlich zu beachten (Art. 957a Abs. 2 OR): 1) die vollständige, wahrheitsgetreue und systematische Erfassung der Geschäftsvorfälle und Sachverhalte; 2) der Belegnachweis für die einzelnen Buchungsvorgänge; 3) die Klarheit; 4) die Zweckmässigkeit mit Blick auf die Art und Grösse des Unternehmens; 5) die Nachprüfbarkeit. 5.3  Bereits im Einspracheentscheid vom 16. August 2019 befasste sich die Rekursgegnerin/Beschwerdegegnerin mit der am 1. Juli 2019 nachgereichten Jahresrechnung 2017 (vgl. vorstehend Erwägung 4.2). 5.4  Im Anschluss an die Anhörung vom 25. Februar 2021 unterzog die Rekursgegnerin/Beschwerdegegnerin die am 1. Juli 2019 nachgereichte Jahresrechnung 2017 sowie das dazugehörige Belegmaterial einer nochmaligen Prüfung. Die daraus resultierenden Erkenntnisse wurden in der Verfügung vom 15. März 2021 detailliert dargelegt und auch in Randziffer 7 der Vernehmlassung vom 16. April 2021 nochmals festgehalten. Die von der Rekursgegnerin/Beschwerdegegnerin gemachten Feststellungen wurden wie folgt zusammengefasst: Sie stellte dabei fest, "dass: - die in den mit A1 bis A5 bezeichneten Auflistungen von Rechnungsstellungen, Honoraren und Einnahmen zusammengefasst den in der Erfolgsrechnung verbuchten Umsatz ausweisen. Die Überprüfung der Vollständigkeit scheitert jedoch zum wiederholten Male an der Tatsache, dass sich keine fortlaufende Rechnungsnummerierung finden lässt; - trotz des Versuchs, in der Art der Nummerierung eine Systematik zu erkennen oder die Belege nach Rechnungsdatum zu sortieren, kann die Vollständigkeit nicht bescheinigt werden; - die Nummerierung der Rechnungen lückenhaft ist. Es folgt beispielsweise auf die Rechnung Nr. 1002.12.2 (vom 27. Dezember 2017) die Nummer 1004.4.3 vom 10. September 2017. Die dazwischenliegenden Rechnungsnummern sind nicht auffindbar. Zudem zeigt dieses Beispiel, dass keine chronologische Erfassung stattfand; - ein Bezug der Rechnungsnummern zum Rechnungsdatum nicht hergestellt werden kann; - die Liste der Halbprivat- und Privathonorare unterschiedlich lange Rechnungsnummern aufweist. Beispielsweise folgt auf die Rechnung Nr. 7.1.3, datiert mit 28. Juli 2017, direkt die Nr. 98.1.1, datiert mit 27. August 2017. Die nächsthöhere Rechnungsnummer lautet auf 115.1.2 und ist datiert mit 1. Mai 2017. Die höchste Nummer lautet auf 2033.1.2, datiert mit 31.12.2017. Die total 13 Fakturen des Bereichs Halbprivat- und Privathonorare streuen somit in einem Rechnungsnummernbereich von 7.1.3 bis 2033.1.2; - die Rechnungsnummern aufsteigend sortiert keinen chronologischen Verlauf der Fakturierung ergeben; - der Versuch, die auf der einen Liste fehlenden Rechnungsnummern auf den anderen Listen aufzufinden, scheitert; - die Erfassung der Einkünfte nicht systematisch erfolgt; - die Vollständigkeit der Fakturierung, basierend auf einer fortlaufenden Nummerierung der Belege nicht attestiert werden kann. Daran ändert auch die Sortierung des auf einem elektronischen Datenträger eingereichten Belegmaterials nichts. 5.5  Die von der Rekursgegnerin/Beschwerdegegnerin gemachten Feststellungen stimmen mit den Belegen in den Akten überein. Damit haben die Rekurrenten/Beschwerdeführer mit der am 1. Juli 2019 nachgereichten Buchhaltung die Grundsätze ordnungsgemässer Buchführung, insbesondere hinsichtlich der Grundsätze der Vollständigkeit, Klarheit und Nachprüfbarkeit, verletzt. Eine Buchhaltung ist ordnungsgemäss geführt, wenn die Geschäftsvorfälle darin fortlaufend, lückenlos, übersichtlich und klar verzeichnet sind (§ 8 Abs. 2 der Vollzugsverordnung zum StG, BGS 614.12; Richner et al., a.a.O., Art. 123 N 55; statt vieler Grundsätzliche Entscheide des Steuergerichts KSGE 2004 Nr. 6; KSG vom 4. Dezember 2017, SGSTA.2017.58; BST.2017.56, E. 2, unter gerichtsentscheide.so.ch). Bei der vorliegenden Buchhaltung sind die Geschäftsvorfälle nicht fortlaufend, lückenlos, übersichtlich und klar verzeichnet sowie belegt. 5.6  Die Mängel hinsichtlich des dritten Jahresabschlusses, wie er von den Rekurrenten/Beschwerdeführern am 1. Juli 2019 eingereicht wurde, hat die Rekurs-/Beschwerdegegnerin seit dem Einspracheentscheid vom 16. August 2019 mehrfach dargelegt. Trotz all der vielen Eingaben der Rekurrenten/Beschwerdeführer können die Mängel nicht beseitigt werden. Das Fazit der Rekursgegnerin/Beschwerdegegnerin, wonach auch der am 1. Juli 2019 nachgereichten Buchhaltung die formelle und materielle Beweiskraft abzusprechen sei, ist demnach nicht zu beanstanden. 6.    Da die Buchführung nicht beweiskräftig ist, kann nicht darauf abgestellt werden. Das steuerbare Einkommen aus selbständiger Erwerbstätigkeit ist deshalb nach pflichtgemässem Ermessen festzulegen (§ 147 Abs. 2 StG; Art. 130 Abs. 2 DBG). Die Rekursgegnerin/Beschwerdegegnerin hat im Einspracheentscheid vom 16. August 2019 die Assistenzhonorare in Höhe von CHF 24'231.-, die das Jahr 2017 betreffen aber im Jahr 2018 bezahlt wurden, ebenso wie die AHV-Beiträge für das Jahr 2017 in Höhe von CHF 30'000.- berücksichtigt und vom Einkommen nach Ermessen gemäss Veranlagung vom 14. Januar 2019 in Höhe von CHF 310'000.- in Abzug gebracht. Daraus resultierte schliesslich ein steuerbares Einkommen nach pflichtgemässem Ermessen aus selbständiger Erwerbstätigkeit in Höhe von CHF 255'769.- für die Steuerperiode 2017. Können die Steuerfaktoren mangels zuverlässiger Unterlagen nicht einwandfrei ermittelt werden, nimmt die VB eine Veranlagung nach pflichtgemässem Ermessen vor. Sie kann dabei Erfahrungszahlen, Vermögensentwicklung und Lebensaufwand der Steuerpflichtigen berücksichtigen (§ 147 StG, Art. 130 DBG, je Abs. 2; KSG vom 4. Dezember 2017, a.a.O., E. 2). Die von den Rekurrenten/Beschwerdeführern offerierten Beweismittel (ELIGO-Programm; SantéSuisse Solothurn) vermögen keine Willkür hinsichtlich des pflichtgemässen Ermessens zu begründen. Schliesslich wurden diese Beweismittel zu spät offeriert. Bei einer Veranlagung nach pflichtgemässem Ermessen können im Rechtsmittelverfahren eingereichte Unterlagen nicht berücksichtigt werden (KSG vom 1. April 2019, SGSTA.2018.42; BST.2018.41, E. 3.2, unter gerichtsentscheide.so.ch). Entgegen dem Standpunkt der Rekurrenten/Beschwerdeführer liegen keine objektiven Anhaltspunkte für eine Ermessensüberschreitung bzw. einen Ermessensmissbrauch vor. Dass weder eine Ermessensüberschreitung noch ein Ermessensmissbrauch vorliegen, wird im Übrigen auch damit bestätigt, dass das mit Verfügung bzw. Einspracheentscheid vom 16. August 2019 ermessensweise festgelegte Einkommen der Rekurrenten/Beschwerdeführer aus selbständiger Erwerbstätigkeit in Höhe von CHF 255'769.- sich an der ersten, von den Rekurrenten/Beschwerdeführern mit der Steuererklärung am 24. Mai 2018 selbst eingereichten Jahresrechnung mit einem darin ausgewiesenen Umsatz von CHF 437'214.69 orientiert. Insofern basiert das nach pflichtgemässem Ermessen bemessene Einkommen aus selbständiger Erwerbstätigkeit auf den von den Rekurrenten/Beschwerdeführern eigens deklarierten Angaben und ist somit nicht willkürlich. 7.    Auch hinsichtlich der Fahrzeuge sind die Ausführungen der Rekursgegnerin/Beschwerdegegnerin plausibel und nachvollziehbar. Mehr als ein Geschäftsfahrzeug lässt sich vorliegend geschäftsmässig nicht begründen. Indem die Rekursgegnerin/Beschwerdegegnerin mit dem Mercedes Benz das kostenintensivste Fahrzeug als Geschäftsfahrzeug akzeptierte, obwohl offenbar häufig auch der Opel Astra als Geschäftsfahrzeug benutzt wurde, wurden im Endeffekt gar höhere Kosten zum Abzug zugelassen, als offenbar tatsächlich anfielen. Für eine solche Lösung sprechen im Übrigen auch die Ausführungen der Rekurrenten/Beschwerdeführer selbst, welche in Beweissatz 138 der Rekurs-/Beschwerdeschrift vom 22. März 2021 ausführten, dass die Familie ….. drei (Wechselschild-)Autonummern für insgesamt fünf Fahrzeuge besitze und dass eine der Autonummern vom Sohn für seine Privatzwecke verwendet werde. Insofern geht allein schon daraus hervor, dass für die geschäftlichen Fahrten des Rekurrenten/Beschwerdeführers als Arzt jeweils nur eines der Fahrzeuge verwendet werden konnte. Die Darstellung der Rekurrenten/Beschwerdeführer, wonach die Rekurrentin/Beschwerdeführerin «als nichtärztliche Assistenz» mit einem eigenen Fahrzeug zu den jeweiligen Patienten fahren soll, ist nicht rechtsgenüglich dokumentiert. Eingestanden wird von den Rekurrenten/Beschwerdeführern, dass die Ehefrau das Fahrzeug benutzt, um «zur Arbeit in die Praxis» (Beweissatz 138 der Rekurs-/Beschwerdeschrift vom 22. März 2021) zu fahren, was - wie die Rekursgegnerin/Beschwerdegegnerin richtig ausführte - als private Fahrten zu qualifizieren sind. 8.    Die Rekurrenten/Beschwerdeführer machen hinsichtlich der Telefonkosten im Wesentlichen geltend, dass sowohl alle Telefonkosten für die Praxis, jene für die Mobiltelefone als auch für Telefonanschlüsse an der privaten Wohnadresse der Rekurrenten/Beschwerdeführer als geschäftsmässige Kosten zu akzeptieren seien. Begründet wurde dies in erster Linie mit dem Beweissatz 154 der Stellungnahme vom 12. Mai 2021, wonach die Arztpraxis während 24 Stunden am Tag und während 365 Tagen pro Jahr (sogar in den Ferien) betrieben werde und Anrufe auf die verschiedenen Telefonleitungen auch auf die Privatadresse in …… und auf das Handy der Ehefrau des Arztes umgeleitet würden. Von den Rekurrenten/Beschwerdeführern allerdings ausser Acht gelassen werden die Gegenargumente der Rekursgegnerin/Beschwerdegegnerin, wonach jedenfalls für die beiden Mobiltelefone und den Telefonanschluss an der Privatadresse der Rekurrenten/Beschwerdeführer eine gemischte Nutzung vorliegen dürfte. Eine Aufrechnung von 50 % der Kosten, namentlich CHF 2'437.-, erscheint als plausibel. Schliesslich machen die Rekurrenten/Beschwerdeführer keinerlei Angaben zur offen gebliebenen Frage, inwieweit auch eine private Nutzung dieser Telefonanschlüsse gegeben ist. Im Endeffekt ist der Rekurs bzw. die Beschwerde daher auch in diesem Punkt abzuweisen. 9.    Die von den Rekurrenten/Beschwerdeführern in ihrer Rekursschrift/Beschwerdeschrift vom 22. März 2021 gestellten «Rechtsbegehren» (s. S. 2 und 3), der «besondere Verfahrensantrag» (s. S. 3) sowie die «weiteren Rechtsbegehren in der Sache» (s. S. 3 bis 5) sind somit allesamt abzuweisen. Abzuweisen sind aufgrund der vorstehenden Erwägungen zudem auch die zusätzlichen Beweisanträge der Rekurrenten/Beschwerdeführer gemäss Stellungnahme vom 12. Mai 2021. 10.  Damit unterliegen die Rekurrenten/Beschwerdeführer mit ihren Anliegen. Bei diesem Verfahrensausgang sind ihnen daher die Kosten aufzuerlegen (§ 163 Abs. 1 StG und Art. 144 Abs. 1 DBG). Die Verfahrenskosten sind gestützt auf § 150 Abs. 1 lit. a und lit. b Ziff. 1 und 5 Gebührentarif (BGS 615.11) auf CHF 3’875.- festzusetzen (Grundgebühr: CHF 3’000.-; Zuschlag: CHF 875.- - strittiges Einkommen CHF 79'524.-, bestehend aus CHF 56'568.- Differenz Praxisreingewinn + CHF 20'519.- Autos + CHF 2'437.- Telefon). Eine Parteientschädigung ist bei diesem Ausgang des Verfahrens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