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SGSTA.2020.41 vom 28. Oktober 2020</w:t>
      </w:r>
    </w:p>
    <w:p>
      <w:r>
        <w:t>SO Obergericht, 2020-10-28, DE</w:t>
      </w:r>
    </w:p>
    <w:p>
      <w:r>
        <w:rPr>
          <w:b/>
        </w:rPr>
        <w:t xml:space="preserve">Quelle: </w:t>
      </w:r>
      <w:r>
        <w:t>https://mcp.opencaselaw.ch/entscheid/so_gerichte_SGSTA.2020.41</w:t>
      </w:r>
    </w:p>
    <w:p>
      <w:r>
        <w:t>FR: SO_GERICHTE SGSTA.2020.41 du 28 octobre 2020</w:t>
      </w:r>
    </w:p>
    <w:p>
      <w:r>
        <w:t>IT: SO_GERICHTE SGSTA.2020.41 del 28 ottobre 2020</w:t>
      </w:r>
    </w:p>
    <w:p>
      <w:pPr>
        <w:pStyle w:val="Heading2"/>
      </w:pPr>
      <w:r>
        <w:t>Regeste</w:t>
      </w:r>
    </w:p>
    <w:p>
      <w:r>
        <w:t>Verfahren, Fristwiederherstellung, § 137 Abs. 2, § 149 Abs. 2 StG, Art. 132 Abs. 1, Art. 133 Abs. 3 DBG.In casu verspätete Einsprache, keine Fristwiederherstellung wegen Ferien, Arbeitsunfähigkeit nicht gleichbedeutend mit Handlungsunfähigkeit.</w:t>
      </w:r>
    </w:p>
    <w:p>
      <w:pPr>
        <w:pStyle w:val="Heading2"/>
      </w:pPr>
      <w:r>
        <w:t>Erwägungen</w:t>
      </w:r>
    </w:p>
    <w:p>
      <w:r>
        <w:rPr>
          <w:b/>
        </w:rPr>
        <w:t>E. 3</w:t>
      </w:r>
    </w:p>
    <w:p>
      <w:r>
        <w:t>Aufl., Zürich 2016, Art. 140 N 44). 2.2 Vom Grundsatz her sind rechtliche Schritte nur innerhalb einer bestimmten Frist möglich; dies liegt im Interesse der Rechtssicherheit als grundlegendem Prinzip. Ist eine Frist zur Einreichung eines ordentlichen Rechtsmittels abgelaufen, wird ein Entscheid rechtskräftig. Hier geht es um Veranlagungsverfügungen, die innert 30 Tagen von der Zustellung an gerechnet schriftlich mit Einsprache angefochten werden können (vgl. § 149 Abs. 1 und 2 StG sowie Art. 132 Abs. 1 DBG). Beweispflichtig für Vollzug und Zeitpunkt der Zustellung einer Verfügung oder eines Entscheids, wovon Ablauf und Lauf einer Rechtsmittelfrist abhängen, ist grundsätzlich die zustellende Behörde ( Richner et al., a.a.O., Art. 116 N 41). Wurden die Veranlagungen nicht eingeschrieben zugestellt und verfügt die Vorinstanz nicht über einen Zustellnachweis, kann dieser auch aufgrund der gesamten Umstände erbracht werden (Bundesgerichtsentscheid BGE 105 III 43 E. 3; BGE 5P.168/2001 vom 20.6.2001 E. 2b). 2.3 Die vom Gesetz bestimmten Fristen können nicht erstreckt werden (§ 137 Abs. 1 StG; Art. 119 Abs. 1 DBG). Ist die Einsprachefrist abgelaufen, wird auf eine verspätete Eingabe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 137 Abs. 2 StG; Art. 133 Abs. 3 DBG). Im Interesse der Rechtssicherheit und eines geordneten Rechtsgangs darf ein Grund, der ein fristgerechtes Handeln gehindert hat, nicht leichthin angenommen werden. Ein solcher ist nach dem praxisgemäss strengen Massstab nur zu bejahen, wenn dem Gesuchsteller auch bei Anwendung der üblichen Sorgfalt die Wahrung seiner Interessen verunmöglicht oder unzumutbar erschwert wird. Die Behörden, die einen Wiederherstellungsgrund beurteilen müssen, verfügen dabei über einen weiten Spielraum ( Richner et al., a.a.O., Art. 133 N 23).</w:t>
      </w:r>
    </w:p>
    <w:p>
      <w:r>
        <w:rPr>
          <w:b/>
        </w:rPr>
        <w:t>E. 3.1</w:t>
      </w:r>
    </w:p>
    <w:p>
      <w:r>
        <w:t>Im konkreten Fall hat der Rekurrent die definitive Veranlagung 2018 vom 13. August 2020 erhalten und am 29. September 2020 dagegen Einsprache erhoben. Dabei machte er geltend, am 17. und 18. August 2020 in Z. auf Geschäftsreise gewesen zu seien. Vom 19. August bis 7. September 2020 sei er sodann ebenfalls in Z. in den Ferien gewesen. Danach sei er in Quarantäne gewesen (Corona-Pandemie). Zudem habe er am 20. September 2020 in Z. einen Reitunfall gehabt. Der Rekurrent zeigt hier anhand einer Hotelrechnung auf, dass er vom 17. bis 19. August 2020 und vom 3. bis 7. September 2020 in Z. gewesen ist. Weiter weist er nach, dass er vom 21. September bis 6. Oktober 2020 arbeitsunfähig gewesen ist.</w:t>
      </w:r>
    </w:p>
    <w:p>
      <w:r>
        <w:rPr>
          <w:b/>
        </w:rPr>
        <w:t>E. 3.2</w:t>
      </w:r>
    </w:p>
    <w:p>
      <w:r>
        <w:t>Das Steuergericht kann in Fällen wie hier nur überprüfen, ob die Vorinstanz zurecht einen Nichteintretensentscheid getroffen hat oder nicht (vgl. oben, E. 2.1). Nur unverschuldete Versäumnisse können im vorliegenden Zusammenhang eine Wiederherstellung der versäumten Rechtsmittelfrist rechtfertigen. Ferien sind dabei kein solcher Grund (vgl. Richner et al., a.a.O., Art. 133 N 25 mit Hinw. zur Rechtsprechung). Aufgrund der provisorischen Veranlagung 2018 vom 2. Juli 2020 musste der Rekurrent wissen, dass demnächst die definitive Veranlagung eintreffen kann. So hätte er sich entsprechend organisieren müssen. Im vorliegenden Fall ist sodann unklar, was der Rekurrent ab 19. August 2020 gemacht hat. Nachweise für ein in dieser Hinsicht unverschuldetes Versäumnis der Einsprachefrist sind nicht vorhanden. Unklar ist des Weiteren auch die Beeinträchtigung des Rekurrenten nach dem geltend gemachten Reitunfall. Die eingewendete "Arbeitsunfähigkeit" sagt dabei noch nicht viel aus; dass er geradezu handlungsunfähig gewesen wäre, ist nicht erkennbar. Immerhin war der Rekurrent in der Lage, der VB zu telefonieren und am 29. September 2020 eine schriftliche Eingabe einzureichen. Er hätte insofern auch einen Vertreter damit beauftragen können. Die Rechtsmittel sind demnach unbegründet.</w:t>
      </w:r>
    </w:p>
    <w:p>
      <w:r>
        <w:rPr>
          <w:b/>
        </w:rPr>
        <w:t>E. 3.3</w:t>
      </w:r>
    </w:p>
    <w:p>
      <w:r>
        <w:t>Was der Rekurrent weiter eingewendet hat, vermag nicht zu überzeugen. Er bestreitet nicht, nach Ablauf der Frist Einsprache erhoben zu haben. Offenbar hat er noch während der laufenden Rechtsmittelfrist aus der Quarantäne mit der VB telefoniert und die umstrittene Veranlagung mündlich moniert. Offensichtlich war ihm die Veranlagung vor Ablauf der Einsprachefrist bekannt. Weshalb er nicht innert der laufenden Frist schriftlich Einsprache erhoben oder seine Schwester damit beauftragt hat, bleibt unklar. Wegen der Landesabwesenheit kann die verpasste Einsprachefrist nach dem Gesagten nicht wiederhergestellt werden. Im Übrigen war der geltend gemachte Reitunfall vom 20. September 2020 anhand der Unterlagen und Angaben nach Ablauf der Einsprachefrist; der Unfall kann auch nicht als Hinderungsgrund gelten. Die Fristversäumnis ist nach dem Ausgeführten nicht unverschuldet gewesen. Ausserdem war der Rekurrent aufgrund der Angaben und Unterlagen vor seiner Abreise ins Ausland bzw. nach der Eröffnung der Veranlagung noch in der Schweiz. Relevante Gründe für eine Wiederherstellung der versäumten Einsprachefrist sind demnach nicht geltend gemacht worden. Die Vorinstanz ist somit zu Recht auf die Einsprache nicht eingetreten. Die Veranlagung kann damit nicht gemäss Einsprache angepasst werden. Die Veranlagungsverfügung vom 13. August 2020 ist daher in Rechtskraft erwachsen. Rekurs und Beschwerde sind nach den Erwägungen abzuweisen. 4.    Bei diesem Verfahrensausgang hat der unterliegende Rekurrent die Kosten zu tragen (§ 163 Abs. 1 StG). Diese sind in Anwendung der §§ 3 und 150 des Gebührentarifs (BGS 615.11) auf CHF 685 festzusetzen (Grundgebühr: CHF 500, Zuschlag: CHF 185).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