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SGSTA.2020.35 vom 9. September 2020</w:t>
      </w:r>
    </w:p>
    <w:p>
      <w:r>
        <w:t>SO Obergericht, 2020-09-09, DE</w:t>
      </w:r>
    </w:p>
    <w:p>
      <w:r>
        <w:rPr>
          <w:b/>
        </w:rPr>
        <w:t xml:space="preserve">Quelle: </w:t>
      </w:r>
      <w:r>
        <w:t>https://mcp.opencaselaw.ch/entscheid/so_gerichte_SGSTA.2020.35</w:t>
      </w:r>
    </w:p>
    <w:p>
      <w:r>
        <w:t>FR: SO_GERICHTE SGSTA.2020.35 du 9 septembre 2020</w:t>
      </w:r>
    </w:p>
    <w:p>
      <w:r>
        <w:t>IT: SO_GERICHTE SGSTA.2020.35 del 9 settembre 2020</w:t>
      </w:r>
    </w:p>
    <w:p>
      <w:pPr>
        <w:pStyle w:val="Heading2"/>
      </w:pPr>
      <w:r>
        <w:t>Regeste</w:t>
      </w:r>
    </w:p>
    <w:p>
      <w:r>
        <w:t>Verfahren, Ermessensveranlagung, § 147 Abs. 2 StG, Art. 130 Abs. 2 DBG.In casu Restaurant-Bar, unvollständiges Kassabuch, Zuschlag zur zu tiefen Bruttogewinnmarge und Eigenverbrauchs-Aufrechnung durch die Veranlagungsbehörde.</w:t>
      </w:r>
    </w:p>
    <w:p>
      <w:pPr>
        <w:pStyle w:val="Heading2"/>
      </w:pPr>
      <w:r>
        <w:t>Erwägungen</w:t>
      </w:r>
    </w:p>
    <w:p>
      <w:r>
        <w:rPr>
          <w:b/>
        </w:rPr>
        <w:t>E. 3</w:t>
      </w:r>
    </w:p>
    <w:p>
      <w:r>
        <w:t>Aufl. 2016, Art. 125 N 19; siehe auch KSGE 2019 Nr. 7 E. 2.5). Im vorliegenden Fall haben die Rekurrenten zuerst kein Kassabuch eingereicht, sondern nur Abrechnungen der Registrierkasse. Die Mängel der Aufzeichnungen können dem Revisionsbericht entnommen werden (Vorakten Nr. 18). Danach fehlen vor allem eben ein Kassabuch und entsprechende Belege. Nachträglich wurde zwar ein Kassabuch nachgereicht; darin sind aber nur Einnahmen enthalten ("", Vorakten Nr. 33a). Ein solches Kassabuch ist unvollständig. Zudem kann ein Kassabuch wohl kaum nachträglich erstellt werden. Den eingereichten Unterlagen muss daher die Beweiskraft abgesprochen werden. Die VB war damit zur Ermessensveranlagung berechtigt (Art. 130 Abs. 2 DBG; § 147 Abs. 2 StG). Weiter ist die Berechnung der Vorinstanz nachvollziehbar und erscheint in ihrer Höhe nicht als unangemessen. So ist z.B. erstellt, dass die Rekurrenten zu Unrecht keinen Eigenverbrauch deklariert haben (CHF 17'000, 9 Monate, 2 Erwachsene und 3 Kinder, geb. 2001, 2007 und 2016; vgl. Merkblatt N1/2007, Naturalbezüge von Selbständigerwerbenden, Ziff. 1e), unter estv.admin.ch). Schliesslich ist bezüglich der IV unklar, welche Abzüge der Rekurrent gefordert hat. Offenbar geht es um den Sozialabzug von § 43 Abs. 1 lit. f StG in Höhe von CHF 5'000 bei ungenügendem Reineinkommen bzw. Anspruch auf eine AHV-/IV-Rente. Auf Sozialabzüge, die nicht gewährt wurden, hat der Rekurrent aber keinen Anspruch. Mit den strittigen Aufrechnungen auf CHF 45'000 bzw. einem Reineinkommen von CHF 83'348 gemäss Veranlagung haben die Rekurrenten denn kein ungenügendes Reineinkommen mehr; dieses beträgt grundsätzlich CHF 32'000 (vgl. § 25 VV zum StG, BGS 614.12). Die Rechtsmittel erweisen sich somit als unbegründet.</w:t>
      </w:r>
    </w:p>
    <w:p>
      <w:r>
        <w:rPr>
          <w:b/>
        </w:rPr>
        <w:t>E. 3.1</w:t>
      </w:r>
    </w:p>
    <w:p>
      <w:r>
        <w:t>Im konkreten Fall betreibt die Rekurrentin in Z ein Restaurant mit Bar. Im ersten Geschäftsjahr 2019 erfolgte eine Bücheruntersuchung. Aufgrund diverser Mängel wurde der Gewinn nach Ermessen auf CHF 45'000 festgelegt (Gewinn gemäss Selbstdeklaration: CHF 13'350, Naturalbezüge: CHF 17'000, Ermessenszuschlag: CHF 14'650). Die Rekurrenten akzeptieren die Aufrechnungen nicht. Sie verlangen, dass die Selbstdeklaration mit Einkünften aus selbständiger Erwerbstätigkeit von CHF 13'350 anerkannt werde. Nachträglich wurde sogar eine Jahresrechnung mit einem Gewinn von CHF 5'037 vorgelegt. Ebenfalls nachträglich ist ein Kassabuch erstellt worden. Der Rekurrent verlangt zudem, dass ihm die Abzüge, die ihm als IV-Rentner zustehen würden, abgezogen würden.</w:t>
      </w:r>
    </w:p>
    <w:p>
      <w:r>
        <w:rPr>
          <w:b/>
        </w:rPr>
        <w:t>E. 3.2</w:t>
      </w:r>
    </w:p>
    <w:p>
      <w:r>
        <w:t>Die Vorinstanz hielt mit Schreiben vom 6. März 2020 fest (Vorakten Nr. 15), welche Unterlagen sie erwarte, vor allem auch sämtliche Kontodetails der Buchhaltung und sämtliche Belege zu Aktiven/Passiven und Aufwand/Ertrag des Geschäftsjahres 2019 Restaurant Bar W, Z. Vom 18. März bis 20. März 2020 wurde sodann der Betrieb der Rekurrentin revidiert (Revisionsbericht, Vorakten Nr. 18). Selbstständig Erwerbende, die nach dem Obligationenrecht nicht buchführungspflichtig sind, haben eine Aufstellung über Aktiven und Passiven, Einnahmen und Ausgaben sowie Privatentnahmen und -einlagen zu führen. Diese Unterlagen sind der Steuererklärung beizulegen (vgl. oben, E. 2.1, Art. 125 Abs. 2 lit. b DBG; § 141 Abs. 2 StG). Bei bargeldintensiven Betrieben, wozu auch Restaurants gehören, muss auch bei nicht buchführungspflichtigen Betrieben ein Kassabuch eingereicht werden; dabei sind die Anforderungen an das Kassabuch indes herabgesetzt (vgl. bereits Der Steuerentscheid StE 1995 B 92.3 Nr. 7; Richner et al., Handkommentar zum DBG,</w:t>
      </w:r>
    </w:p>
    <w:p>
      <w:r>
        <w:rPr>
          <w:b/>
        </w:rPr>
        <w:t>E. 3.3</w:t>
      </w:r>
    </w:p>
    <w:p>
      <w:r>
        <w:t>Was die Rekurrenten weiter einwenden, kann zu keinem anderen Ergebnis führen. Erweist sich ein Kassabuch als nicht ordnungsgemäss geführt und muss dessen Aussagekraft stark bezweifelt werden, kann bei bargeldintensiven Betrieben wie hier die ganze Buchhaltung zurückgewiesen werden. Im vorliegenden Fall ist wie gesehen kein ordnungsgemässes Kassabuch vorhanden. Den eingereichten Unterlagen ist die Beweiskraft abzusprechen. Die VB war wie gesagt zur Ermessensveranlagung berechtigt (Art. 130 Abs. 2 DBG). Deren Berechnung ist nachvollziehbar und erscheint in der Höhe als angemessen. Zwar mag die Berechnung der Ermessensveranlagung bezüglich des Ermessenszuschlags von CHF 14'650 als relativ hoch erscheinen. Dieser Zuschlag basiert aber auf entsprechenden Erfahrungszahlen sowie dem betreffenden Aufwand; aus der ausgewiesenen, hier aber zu tiefen Bruttogewinnmarge von 58 % im Vergleich zu den entsprechenden Kennzahlen von mehr als 70 % resultiert der massgebliche Gewinn (vgl. dazu Kennzahlen Kompetenz-Zentrum für das Gastgewerbe und die Hotellerie AG sowie der KATAG, Vorakten Nrn. 23 und 24). Die vorliegende Berechnung kann denn nicht als willkürlich beanstandet werden. Sodann ist es möglich, ein Kassabuch digital zu führen (vgl. bereits KSGE 2004 Nr. 6 E. 9; siehe auchRichneret al., a.a.O., Art. 123 N 56); indes ist hier die Buchhaltung wie gesehen nicht zeitnah erfasst worden. Es ist denn im Steuerjahr 2019 wie erwähnt kein ordnungsgemässes Kassabuch geführt worden; daran ändern auch die eingereichten Unterlagen nichts. Insofern ist es nicht zu beanstanden, wenn die Vorinstanz dem Kassabuch wie aufgezeigt die Beweiskraft abgesprochen und das Einkommen aus selbständiger Erwerbstätigkeit der Rekurrentin nach Ermessen veranlagt hat. Die Rekurrenten konnten die Mängel in der Kassabuchhaltung nicht beseitigen, so dass die Vorinstanz diese Buchhaltung als Veranlagungsgrundlage zu Recht abgelehnt hat. Die ermessensweise Aufrechnung durch die VB erfolgte damit zu Recht (§ 147 Abs. 2 StG; Art. 130 Abs. 2 DBG; Ermessensveranlagung). Die Ermessenberechnung durch die Vorinstanz ist nicht zu bemängeln. Dass die Vorinstanz die Einkünfte der Rekurrentin aus selbständiger Erwerbstätigkeit auf CHF 45'000 festgesetzt hat, ist somit nicht zu beanstanden. Rekurs und Beschwerde sind nach den Erwägungen abzuweisen.</w:t>
      </w:r>
    </w:p>
    <w:p>
      <w:r>
        <w:t>4.    Bei diesem Verfahrensausgang haben die Rekurrenten die Kosten zu tragen. Diese sind in Anwendung der §§ 3 und 150 des Gebührentarifs (BGS 615.11) auf CHF 848 festzusetzen (Grundgebühr: CHF 500; Zuschlag: CHF 348).</w:t>
      </w:r>
    </w:p>
    <w:p>
      <w:r>
        <w:t>****************</w:t>
      </w:r>
    </w:p>
    <w:p>
      <w:r>
        <w:t>Demnach wirderkannt:</w:t>
      </w:r>
    </w:p>
    <w:p>
      <w:r>
        <w:t>1.Rekurs und Beschwerde werden abgewiesen.</w:t>
      </w:r>
    </w:p>
    <w:p>
      <w:r>
        <w:t>2.Die Gerichtskosten von CHF 848 werden den Rekurrenten/ 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VB Solothurn (mit Steuerakten)</w:t>
      </w:r>
    </w:p>
    <w:p>
      <w:r>
        <w:t>- KStA, Recht und Aufsicht</w:t>
      </w:r>
    </w:p>
    <w:p>
      <w:r>
        <w:t>- Finanzdepartement</w:t>
      </w:r>
    </w:p>
    <w:p>
      <w:r>
        <w:t>- Steuerregisteramt</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