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SGSTA.2020.33 vom 7. März 2022</w:t>
      </w:r>
    </w:p>
    <w:p>
      <w:r>
        <w:t>SO Obergericht, 2022-03-07, DE</w:t>
      </w:r>
    </w:p>
    <w:p>
      <w:r>
        <w:rPr>
          <w:b/>
        </w:rPr>
        <w:t xml:space="preserve">Quelle: </w:t>
      </w:r>
      <w:r>
        <w:t>https://mcp.opencaselaw.ch/entscheid/so_gerichte_SGSTA.2020.33</w:t>
      </w:r>
    </w:p>
    <w:p>
      <w:r>
        <w:t>FR: SO_GERICHTE SGSTA.2020.33 du 7 mars 2022</w:t>
      </w:r>
    </w:p>
    <w:p>
      <w:r>
        <w:t>IT: SO_GERICHTE SGSTA.2020.33 del 7 marzo 2022</w:t>
      </w:r>
    </w:p>
    <w:p>
      <w:pPr>
        <w:pStyle w:val="Heading2"/>
      </w:pPr>
      <w:r>
        <w:t>Regeste</w:t>
      </w:r>
    </w:p>
    <w:p>
      <w:r>
        <w:t>Einkommen, Kapitalleistung, selbständige Erwerbstätigkeit; 2. Abzüge, Vorsorgebeiträge, selbständige Erwerbstätigkeit1. In casu rechtmässiger Barbezug des Vorsorgeguthabens infolge Aufnahme einer selbständigen Erwerbstätigkeit; 2. Abzüge beim Übergang von unselbständiger zu selbständiger Erwerbstätigkeit, berechtigte Abzüge von 20 % des Gewinns und für Vorsorgebeiträge, kein Abzug für einen Lagerraum wegen fehlendem Nachweis.</w:t>
      </w:r>
    </w:p>
    <w:p>
      <w:pPr>
        <w:pStyle w:val="Heading2"/>
      </w:pPr>
      <w:r>
        <w:t>Erwägungen</w:t>
      </w:r>
    </w:p>
    <w:p>
      <w:r>
        <w:rPr>
          <w:b/>
        </w:rPr>
        <w:t>E. 25</w:t>
      </w:r>
    </w:p>
    <w:p>
      <w:r>
        <w:t>August 2020 wurde dies damit begründet, dass aufgrund der geringen Tätigkeit ein «Büroabzug» nicht gerechtfertigt sei. In der Vernehmlassung führt die Veranlagungsbehörde dazu aus, es handle sich nach Angaben des Rekurrenten um einen Lagerraum, die Unternehmung «XXX» biete jedoch Dienstleistungen in der Immobilienverwaltung an. Der jährliche Umsatz bewege sich seit 2006 im vierstelligen Bereich, weshalb sich die Menge der aufzubewahrenden Geschäftsunterlagen in Grenzen halten sollte und hierfür kein Lagerraum gemietet werden müsste. Die geschäftsmässige Begründetheit sei nicht gegeben. 6.2. In der Replik vom</w:t>
      </w:r>
    </w:p>
    <w:p>
      <w:r>
        <w:rPr>
          <w:b/>
        </w:rPr>
        <w:t>E. 27</w:t>
      </w:r>
    </w:p>
    <w:p>
      <w:r>
        <w:t>November 2020 lassen die Rekurrenten dazu replizieren, dass die Tätigkeit der Einzelunternehmung "XXX" 2004/2005 aufgenommen worden sei. In den Jahren 2008 bis 2011 sei über diese Unternehmung die Hauswartung der Liegenschaft T. Strasse 0 der Rekurrenten vorgenommen worden. Der Lagerraum sei für die entsprechenden Geräte und Baumaterialien gemietet worden. Ab 2012 sei der Umfang der Geschäftstätigkeit der "XXX" zurückgegangen und bestehe aus «gelegentlichen und unregelmässigen» Unterhaltstätigkeiten für die Liegenschaften T. Strasse 0, S. und R. Strasse 1, S. 6.3. Die Nachweispflicht von abzugsfähigen Kosten liegt bei der steuerpflichtigen Person, welche die steuermindernden Tatsachen zu beweisen hat. Die von den Rekurrenten dazu vorgetragenen Tatsachen und offerierten Beweise sind allerdings nicht überzeugend und in sich widersprüchlich. Während in der Replik ausgeführt wird, die Räumlichkeiten seien anlässlich der Geschäftsaufnahme der "XXX" in den Jahren 2004/2005 notwendig geworden und deshalb gemietet worden, legen sie als Beilage 30 ein Schreiben des Rekurrenten vom … 2000 über eine Einigung mit dem Vermieter ins Recht, wonach die Räumlichkeiten zu ¼ durch den Rekurrenten privat und zu ¾ durch die U., S. gemietet werden sollen. In dem Schreiben wird zudem darauf Bezug genommen, dass ein Antrag an den Zunftrat bezüglich der Miete gestellt werden müsse. Das erwähnte Vorgehen, die Tatsache, dass die Räumlichkeiten bereits mindestens vier Jahre vor Geschäftsaufnahme der «XXX» durch den Rekurrenten privat angemietet worden sind, und nicht zuletzt die Ausführungen, wonach die «XXX» bereits seit 2012 nur noch gelegentlich und unregelmässig Unterhaltstätigkeiten erbringt, sprechen gegen eine geschäftsmässige Begründetheit. Rekurs und Beschwerde sind in diesem Punkt abzuweisen. 7.    Nach dem Ausgeführten sind Rekurs und Beschwerde teilweise gutzuheissen. Nachdem die abzuweisenden Teile in Bezug auf das steuerbare Einkommen betragsmässig marginal sind, rechtfertigt es sich, die Verfahrenskosten vollumfänglich dem Staat aufzuerlegen bzw. auf solche zu verzichten. Den Rekurrenten ist eine Parteikostenentschädigung zuzusprechen. Mit Kostennote vom 27. November 2020 machen die Rekurrenten Parteikosten von CHF 8'400.60 (inkl. Auslagen und MWST) geltend, wobei eine detaillierte Auflistung der Bemühungen fehlt. Praxisgemäss werden in Verfahren des Steuergerichts pauschale Parteientschädigungen zugesprochen. Eine Parteientschädigung von CHF 4'000.00 inkl. Auslagen und MWST erscheint der streitwertgemässen Bedeutung des Verfahrens sowie dem zu erbringenden Aufwand im schriftlichen Verfahren (keine Parteiverhandlung, zwei Rechtsschriften der Rekurrenten) als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