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SGSTA.2020.22 vom 26. August 2019</w:t>
      </w:r>
    </w:p>
    <w:p>
      <w:r>
        <w:t>SO Obergericht, 2019-08-26, DE</w:t>
      </w:r>
    </w:p>
    <w:p>
      <w:r>
        <w:rPr>
          <w:b/>
        </w:rPr>
        <w:t xml:space="preserve">Quelle: </w:t>
      </w:r>
      <w:r>
        <w:t>https://mcp.opencaselaw.ch/entscheid/so_gerichte_SGSTA.2020.22</w:t>
      </w:r>
    </w:p>
    <w:p>
      <w:r>
        <w:t>FR: SO_GERICHTE SGSTA.2020.22 du 26 août 2019</w:t>
      </w:r>
    </w:p>
    <w:p>
      <w:r>
        <w:t>IT: SO_GERICHTE SGSTA.2020.22 del 26 agosto 2019</w:t>
      </w:r>
    </w:p>
    <w:p>
      <w:pPr>
        <w:pStyle w:val="Heading2"/>
      </w:pPr>
      <w:r>
        <w:t>Regeste</w:t>
      </w:r>
    </w:p>
    <w:p>
      <w:r>
        <w:t>Einkommen, selbständige Erwerbstätigkeit; Verfahren, Akteneinsicht, § 24bis Abs. 1 StG, Art. 20 Abs. 1 lit. c DBG.Steuerpflichtiger als Organ einer GmbH; kein Nachweis gegen Aufrechnung geldwerter Vorteile der GmbH an den Steuerpflichtigen. Konkurs der GmbH; Akteneinsicht dennoch möglich.</w:t>
      </w:r>
    </w:p>
    <w:p>
      <w:pPr>
        <w:pStyle w:val="Heading2"/>
      </w:pPr>
      <w:r>
        <w:t>Erwägungen</w:t>
      </w:r>
    </w:p>
    <w:p>
      <w:r>
        <w:rPr>
          <w:b/>
        </w:rPr>
        <w:t>E. 2</w:t>
      </w:r>
    </w:p>
    <w:p>
      <w:r>
        <w:t>Rechtsgang kommt die Vorinstanz in nochmaliger Überprüfung der Sache zum Schluss, die Aufrechnungen seien gerechtfertigt. Die Rekurrenten bestreiten die Aufrechnungen; sie bringen aber keine weiteren Unterlagen bei. 3.2 Steuererhöhende oder -begründende Tatsachen sind wie gesehen durch die VB nachzuweisen (vgl. oben, E. 2.2). Von einem Steuerpflichtigen, der Organ einer Gesellschaft ist wie es der Rekurrent gewesen ist, kann dagegen erwartet werden, dass er die geltend gemachten Leistungen der Gesellschaft detailliert bestreitet. Unterlässt er dies oder beschränkt er sich auf pauschale Behauptungen, darf die VB annehmen, dass die Aufrechnungen gerechtfertigt sind (vgl. E. 2.3). Im vorliegenden Fall ist zudem zu beachten, dass die Gesellschaft in Konkurs ist. Dies bedeutet aber nicht, dass der Rekurrent von jeglichen Nachweisen entbunden wäre. Die Unterlagen, die sich beim Konkursamt befinden, sind nicht gesperrt. Eine Akteneinsicht ist bei einem entsprechenden Interessennachweis möglich (vgl. Art. 8a SchKG, Einsichtsrecht; siehe auch BGE 115 III 81). Die Rekurrenten wenden auch nicht ein, ihnen wäre die Einsicht in die Unterlagen verwehrt worden. Es genügt aber nicht, sich gleichsam hinter dem Konkursverfahren zu verstecken. Die Rechtsmittel erweisen sich nach dem Ausgeführten als unbegründet. 3.3 Was die Rekurrenten weiter einwenden, vermag zu keinem anderen Ergebnis zu führen. Wie die Vorinstanz zutreffend festgehalten hat, ist Stichtag für die Beurteilung der Beteiligungsverhältnisse an der Gesellschaft der 31. Dezember eines Jahres bzw. das Ende der Steuerperiode (vgl. Art. 40 DBG resp. §§ 74 ff. StG, zeitliche Bemessung), hier der 31. Dezember 2017. Dann war der Rekurrent unbestritten zu 100 % an der Gesellschaft beteiligt. Die Aufrechnung der geldwerten Leistungen kann daher entgegen der Ansicht der Rekurrenten nicht nur zu 50 % erfolgen. Auch hatten diese Gelegenheit, weitere Unterlagen einzureichen (vgl. Aufforderungsschreiben der VB vom 18.10.2019). Das haben sie indes nicht getan, insbesondere auch nicht in der vorliegenden Eingabe. Für die darin gemachten Einwände wurden keine Nachweise vorgelegt. Der angefochtene Einspracheentscheid ist somit nicht zu beanstanden. Rekurs und Beschwerde sind nach den Erwägungen abzuweisen. 4.    Bei diesem Verfahrensausgang haben die Rekurrenten die Kosten zu tragen. Diese sind in Anwendung der §§ 3 und 150 des Gebührentarifs (BGS 615.11) auf CHF 1'489 festzusetzen (Grundgebühr: CHF 500; Zuschlag: CHF 989). Ausgangsgemäss ist keine Parteienschädigung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