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SGSTA.2020.16 vom 23. März 2020</w:t>
      </w:r>
    </w:p>
    <w:p>
      <w:r>
        <w:t>SO Obergericht, 2020-03-23, DE</w:t>
      </w:r>
    </w:p>
    <w:p>
      <w:r>
        <w:rPr>
          <w:b/>
        </w:rPr>
        <w:t xml:space="preserve">Quelle: </w:t>
      </w:r>
      <w:r>
        <w:t>https://mcp.opencaselaw.ch/entscheid/so_gerichte_SGSTA.2020.16</w:t>
      </w:r>
    </w:p>
    <w:p>
      <w:r>
        <w:t>FR: SO_GERICHTE SGSTA.2020.16 du 23 mars 2020</w:t>
      </w:r>
    </w:p>
    <w:p>
      <w:r>
        <w:t>IT: SO_GERICHTE SGSTA.2020.16 del 23 marzo 2020</w:t>
      </w:r>
    </w:p>
    <w:p>
      <w:pPr>
        <w:pStyle w:val="Heading2"/>
      </w:pPr>
      <w:r>
        <w:t>Regeste</w:t>
      </w:r>
    </w:p>
    <w:p>
      <w:r>
        <w:t>Abzüge, berufliche Vorsorge, Säule 3a, Steuerumgehung. § 41 Abs. 1 lit. h StG, Art. 33 Abs. 1 lit. d DBG.Massgebliche 3-Jahressperrfrist für steuerliche Abzugsberechtigung bei Pensionskasseneinkauf und Kapitalbezug, unabhängig davon, ob zuerst der Kapitalbezug oder der Pensionskasseneinkauf erfolgt. Teilpensionierung ändert nichts. Steuerumgehung nicht nachzuweisen. Motiv für Einkauf bzw. Kapitalbezug irrelevant.</w:t>
      </w:r>
    </w:p>
    <w:p>
      <w:pPr>
        <w:pStyle w:val="Heading2"/>
      </w:pPr>
      <w:r>
        <w:t>Erwägungen</w:t>
      </w:r>
    </w:p>
    <w:p>
      <w:r>
        <w:rPr>
          <w:b/>
        </w:rPr>
        <w:t>E. 3</w:t>
      </w:r>
    </w:p>
    <w:p>
      <w:r>
        <w:t>BVG kann wie gesehen ein Einkauf in die 2. Säule steuerlich nicht abgezogen werden, wenn in den letzten 3 Jahren ein Kapitalbezug stattgefunden hat. Gemäss herrschender steuerrechtlicher Rechtsprechung spielt es keine Rolle, ob zuerst der Bezug der Kapitalleistung oder der Einkauf stattgefunden hat (vgl. BGer vom 1.7.2011, a.a.O. und 2C_62/2017, 2C_63/2017 vom 12.6.2017, E. 3.2.1 f.; KSG, SGSTA.2018.26; BST.2018.26, E. 5 und SGSTA.2018.35; BST.2018.34, beide vom 21.1.2019, a.a.O.). Dass sich der Rekurrent nur teilpensionieren liess, ändert an dieser Betrachtungsweise nichts. Letztlich geht es darum, dass mit dem Bezug und der Wiedereinzahlung von Vorsorgegeldern die Vorsorgesituation insgesamt nicht verbessert werden kann. Das Vorgehen müsste somit auch als missbräuchlich angesehen werden, obschon die Steuerumgehung hier nicht mehr nachgewiesen werden muss. Die Behauptung, dass der Rekurrent beim Kapitalbezug nichts von der Lohnerhöhung und der Deckungslücke gewusst habe, ist nicht nachgewiesen, aber auch nicht massgebend. Das Motiv und die Hintergründe des Einkaufs und des Kapitalbezugs sind hier nicht relevant (vgl. BGer vom 12.3.2010, E. 3.3.2 und 1.7.2011, E. 2.1, je a.a.O., sowie 2C_1051/2014, 2C_1052/2014 vom 30.6.2015, E. 3; siehe auch KSG, SGSTA.2008.118, BST.2008.86 vom 26.1.2009, SGSTA.2010.11; BST.2010.10 vom 10.5.2010, SGSTA.2010.30; BST.2010.27 vom 29.11.2010 und SGSTA.2011.86; BST.2011.76 vom 12.12.2011; KSGE 2012 Nr. 8; KSG, SGSTA.2015.48; BST.2015.44 vom 23.11.2015, SGSTA.2017.73; BST.2017.69 vom 19.3.2018, E. 2.1, unter gerichtsentscheide.so.ch und SGSTA.2018.35; BST.2018.34, a.a.O.). Die Rechtsmittel erweisen sich nach dem Gesagten somit als unbegründet.</w:t>
      </w:r>
    </w:p>
    <w:p>
      <w:r>
        <w:rPr>
          <w:b/>
        </w:rPr>
        <w:t>E. 3.3</w:t>
      </w:r>
    </w:p>
    <w:p>
      <w:r>
        <w:t>Was die Rekurrenten weiter einwenden lassen, kann zu keinem anderen Ergebnis führen. Hier ist die dreijährige Sperrfrist offensichtlich verletzt worden (Teilpensionierung des Rekurrenten per 30.4.2017, Kapitalbezug vom 2.5.2017 und Einkauf in die Pensionskasse vom 1.6.2017). Damit ist keine Missbrauchsprüfung erforderlich (vgl. BGE 142 II 399 E. 4.1 mit Hinw.). Art. 79b Abs. 3 BVG verbietet wie gesehen den Bezug von Pensionskassengeldern, wenn in den letzten drei Jahren Einkaufsbeiträge einbezahlt worden sind. Dies gilt auch dann, wenn wie hier zuerst Bezüge getätigt und anschliessend Einkaufsbeträge bezahlt werden. Es spielt keine Rolle, ob das umstrittene Vorgehen geplant war oder spontan entschieden wurde. Art. 79b Abs. 3 BVG soll die Missbräuche der beruflichen Vorsorge zur Steuerminderung verhindern, welche sich aus dem vollen Abzug der Einkaufsbeträge und dem privilegiert besteuerten Bezug des Vorsorgekapitals ergeben. Die Bestimmung ist so auszulegen, dass jede Kapitalauszahlung in der Dreijahresfrist als missbräuchlich gilt und jede Einzahlung während der Sperrfrist vom Abzug von den steuerbaren Einkünften ausgeschlossen ist (KSG, vom 19.3.2018, a.a.O., E. 3.1 mit Hinw. auf BGer vom 12.3.2010 und 24.11.2010, je a.a.O., KSGE 2012 Nr. 8). Nach herrschender Rechtsprechung (BGE 142 II 399 ff.) ist das streitige Vorgehen wie gesagt missbräuchlich, namentlich auch infolge der zeitlichen Nähe von Kapitalbezug und Einkauf. Die Steuerumgehung (vgl. dazu etwa BGE 142 II 399 E. 4.2, KSG, SGSTA.2018.26; BST.2018.26, a.a.O., E. 6: ungewöhnliche Rechtsgestaltung, Steuersparwille, effektive Steuerersparnis) muss hier wie angeführt nicht separat nachgewiesen werden. Würde indes der geltend gemachte Abzug von rund CHF 107'023 akzeptiert, würde eine Steuerersparnis von rund CHF 29'981 resultieren (total rund CHF 209'206 Steuern anstatt rund CHF 239'187; Vorakten, Beilagen 52-55). Dass hier der vorsorgliche Effekt im Vordergrund liegen würde, ist wie erwähnt nicht erwiesen. Auch kann eine mögliche künftige Entwicklung bezüglich Rentenerhöhung der Ehefrau, wie von den Rekurrenten eingewendet, nicht berücksichtigt werden.  Der strittige Abzug für den Einkauf ist demnach zu Recht verweigert worden. Der angefochtene Einspracheentscheid ist damit nicht zu beanstanden. Rekurs und Beschwerde sind somit abzuweisen. 4.    Bei diesem Verfahrensausgang haben die Rekurrenten die Kosten zu tragen. Diese sind in Anwendung der §§ 3 und 150 des Gebührentarifs (BGS 615.11) auf CHF 1'927 festzusetzen (Grundgebühr: CHF 750, Zuschlag: CHF 1'177).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