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SGSTA.2020.1 vom 7. September 2020</w:t>
      </w:r>
    </w:p>
    <w:p>
      <w:r>
        <w:t>SO Obergericht, 2020-09-07, DE</w:t>
      </w:r>
    </w:p>
    <w:p>
      <w:r>
        <w:rPr>
          <w:b/>
        </w:rPr>
        <w:t xml:space="preserve">Quelle: </w:t>
      </w:r>
      <w:r>
        <w:t>https://mcp.opencaselaw.ch/entscheid/so_gerichte_SGSTA.2020.1</w:t>
      </w:r>
    </w:p>
    <w:p>
      <w:r>
        <w:t>FR: SO_GERICHTE SGSTA.2020.1 du 7 septembre 2020</w:t>
      </w:r>
    </w:p>
    <w:p>
      <w:r>
        <w:t>IT: SO_GERICHTE SGSTA.2020.1 del 7 settembre 2020</w:t>
      </w:r>
    </w:p>
    <w:p>
      <w:pPr>
        <w:pStyle w:val="Heading2"/>
      </w:pPr>
      <w:r>
        <w:t>Regeste</w:t>
      </w:r>
    </w:p>
    <w:p>
      <w:r>
        <w:t>Grundstückgewinnsteuer, Veräusserungen, Wegrecht, Steueraufschub.Wegfall eines Wegrechts; entsprechende Entschädigung unterliegt der Grund-stückgewinnsteuer. Steueraufschub vom Steuerpflichtigen nicht substantiiert.</w:t>
      </w:r>
    </w:p>
    <w:p>
      <w:pPr>
        <w:pStyle w:val="Heading2"/>
      </w:pPr>
      <w:r>
        <w:t>Erwägungen</w:t>
      </w:r>
    </w:p>
    <w:p>
      <w:r>
        <w:rPr>
          <w:b/>
        </w:rPr>
        <w:t>E. 2</w:t>
      </w:r>
    </w:p>
    <w:p>
      <w:r>
        <w:t>lit. c StG). Gemäss konstanter Praxis des Kantonalen Steuergerichts ist für die steuerliche Erfassung der geleisteten Zahlung massgebend und entscheidend, weshalb es zum entsprechenden Mittelzufluss kam. Ist der Mittelzufluss einzig von der Einräumung der Dienstbarkeit (oder wie vorliegend von der Löschung derselben) abhängig, so ist die Zahlung mit der Grundstückgewinnsteuer zu erfassen (Grundsätzliche Entscheide des Steuergerichts KSGE 1996 Nr. 2). Es bleibt somit festzustellen, dass die Vorinstanz die Pauschalentschädigung zu Recht der Grundstückgewinnbesteuerung unterworfen hat. 4.1 Zu entscheiden bleibt, inwieweit auf das durch den Rekurrenten in seiner Stellungnahme bzw. Rückäusserung vom 27.3.2020 erweiterte Rechtsbegehren, dass eine allfällig veranlagte Grundstückgewinnsteuer im Sinne von § 50 Abs. 1 lit. c bzw. § 50 Abs. 2 StG aufzuschieben sei, eingetreten werden kann. Der Rekurrent weist in diesem Zusammenhang darauf hin, dass die Vorinstanz «nur» die Frage der Ersatzbeschaffung beurteilt habe. Die übrigen Steueraufschubtatbestände seien jedoch, obwohl in Aussicht gestellt, nicht geprüft worden. Dies - so der Rekurrent weiter - «hätte denn auch ohne Antrag des Steuerpflichtigen von Amtes wegen vorgenommen werden müssen». 4.2 Aktenkundig ist, dass die Vorinstanz in ihrer (definitiven) Grundstückgewinnsteuerveranlagung den Steueraufschub infolge Ersatzbeschaffung ablehnte, weil der Erlös nicht innert 2 Jahren zum Erwerb oder Verbesserung eines eigenen und selbstbewirtschafteten Grundstücks verwendet wurde. Diese Ablehnung ist nicht zu bemängeln und nachvollziehbar, zumal in der vom Rekurrenten in seiner am 29.8.2018 eingereichten «Steuererklärung für Grundstückgewinnsteuer» lediglich Offerten (allesamt datiert zwischen dem 15.11.2017 und 16.5.2018) über diverse Handwerkerarbeiten beilagen, die zudem verschiedene Liegenschaften (C-strasse 01; D-strasse 02) betrafen (Akten-Beleg 5/3). Die in der Steuererklärung in Aussicht gestellten Originalrechnungen mit Bauabrechnung wurden weder im vorinstanzlichen Verfahren noch im Rekursverfahren nachgereicht. Unter diesen Voraussetzungen ist in der Tat nicht ersichtlich, wie die Vorinstanz einen Steueraufschub hätte gutheissen sollen. Es hätte am Rekurrenten gelegen, den Steueraufschubtatbestand von § 50 Abs. 1 lit. c StG (Landumlegung zwecks Güterzusammenlegung …) bzw. § 50 Abs. 2 StG (… soweit der Veräusserungserlös innert angemessener Frist zum Erwerb eines selbstbewirtschafteten Ersatzgrundstückes oder zur Verbesserung der eigenen, selbstbewirtschafteten land- oder forstwirtschaftlichen Grundstücke verwendet wird) begründet darzulegen. Das Kantonale Steuergericht hat im Rekursverfahren die gleichen Befugnisse wie die vorliegende Behörde. Es hat das Recht von Amtes wegen anzuwenden; entsprechend gilt auch im Rekursverfahren die Untersuchungs- und Offizialmaxime (vgl. statt vieler: Markus Reich , Steuerrecht, 3. Auflage, § 27 Rz. 42 f.). Diese Maximen befreien den Steuerpflichtigen allerdings nicht davon, seine Begehren zu begründen sowie die sie begründenden Tatsachen und Beweismittel anzugeben (§ 160 Abs. 3 StG). Die konkret eingereichten Belege (Offerten) und die dazu abgegebene Bemerkung (Nachreichen der Originale) im Steuererklärungsformular sind jedenfalls ungenügend, um einen der gesetzlich vorgesehenen Steueraufschubtatbestände zu substantiieren. So wäre es u.a. auch am Steuerpflichtigen gelegen darzulegen, wieso die gesetzlich vorgesehene Regelfrist von zwei Jahren für eine allfällig erfolgte Ersatzbeschaffung (§ 51 StG) nicht hat beachtet werden können. 5.    Nach Ausgeführtem ist der Rekurs vollständig abzuweisen. Nach dem Ausgang des vorliegenden Verfahrens sind die Gerichtskosten von total CHF 3'000.00 (Grundgebühr: CHF 800.00; Zuschlag: CHF 2'200.00; §§ 3 und 150 des Gebührentarifs; BGS 615.11) dem Rekurrenten aufzuerlegen.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