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SGSTA.2019.11 vom 20. Mai 2019</w:t>
      </w:r>
    </w:p>
    <w:p>
      <w:r>
        <w:t>SO Obergericht, 2019-05-20, DE</w:t>
      </w:r>
    </w:p>
    <w:p>
      <w:r>
        <w:rPr>
          <w:b/>
        </w:rPr>
        <w:t xml:space="preserve">Quelle: </w:t>
      </w:r>
      <w:r>
        <w:t>https://mcp.opencaselaw.ch/entscheid/so_gerichte_SGSTA.2019.11</w:t>
      </w:r>
    </w:p>
    <w:p>
      <w:r>
        <w:t>FR: SO_GERICHTE SGSTA.2019.11 du 20 mai 2019</w:t>
      </w:r>
    </w:p>
    <w:p>
      <w:r>
        <w:t>IT: SO_GERICHTE SGSTA.2019.11 del 20 maggio 2019</w:t>
      </w:r>
    </w:p>
    <w:p>
      <w:pPr>
        <w:pStyle w:val="Heading2"/>
      </w:pPr>
      <w:r>
        <w:t>Regeste</w:t>
      </w:r>
    </w:p>
    <w:p>
      <w:r>
        <w:t>Steuerpflicht, interkantonales Verhältnis, § 8 Abs. 1 und 2, § 13 Abs. 3 StG.Arbeitsortsprinzip; in casu unverheirateter Steuerpflichtiger im Kanton Solothurn mit Vollpensum arbeitend und in Eigenheim wohnend, kein Nachweis, dass private Beziehungen im Kanton Graubünden überwiegen.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Aufl., Zürich/St. Gallen 2010, Rzn. 875 und 1672 ff.). Dass der Rekurrent im Jahr 2017 zu Y GR vorrangige Beziehungen hatte, die jene zu X überwiegen, hat er somit nicht nachgewiesen. Dementsprechend ist mit der Vorinstanz von einem steuerrechtlichen Wohnsitz in X für das Steuerjahr 2017 auszugehen. Der Rekurs ist demnach abzuweisen. 4.    Bei diesem Verfahrensausgang hat der Rekurrent die Kosten zu tragen. Diese sind in Anwendung der §§ 3 und 150 des Gebührentarifs (BGS 615.11) auf CHF 1'000 festzusetzen (Grundgebühr; kein Zuschlag). ****************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