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SGSTA.2018.32 vom 28. Mai 2018</w:t>
      </w:r>
    </w:p>
    <w:p>
      <w:r>
        <w:t>SO Obergericht, 2018-05-28, DE</w:t>
      </w:r>
    </w:p>
    <w:p>
      <w:r>
        <w:rPr>
          <w:b/>
        </w:rPr>
        <w:t xml:space="preserve">Quelle: </w:t>
      </w:r>
      <w:r>
        <w:t>https://mcp.opencaselaw.ch/entscheid/so_gerichte_SGSTA.2018.32</w:t>
      </w:r>
    </w:p>
    <w:p>
      <w:r>
        <w:t>FR: SO_GERICHTE SGSTA.2018.32 du 28 mai 2018</w:t>
      </w:r>
    </w:p>
    <w:p>
      <w:r>
        <w:t>IT: SO_GERICHTE SGSTA.2018.32 del 28 maggio 2018</w:t>
      </w:r>
    </w:p>
    <w:p>
      <w:pPr>
        <w:pStyle w:val="Heading2"/>
      </w:pPr>
      <w:r>
        <w:t>Regeste</w:t>
      </w:r>
    </w:p>
    <w:p>
      <w:r>
        <w:t>Verfahren, Ungebührlichkeit, Parteieinvernahme; Abzüge, Berufskosten, Fahrkosten, § 33 Abs. 1 lit. a, § 164 StG, Art. 26 Abs. 1 lit. a DBG.Ungebührliches Betragen von Parteien vor Steuergericht kann gerügt oder mit einer Ordnungsbusse belegt werden. Verzicht auf eine Parteieinvernahme, wenn diese als nicht notwendig erscheint zur Erfassung des Sachverhalts. In casu kein fester Arbeitsweg. Berechnung der gesamten geschäftlichen Kilometerkosten abzüglich der Entschädigung des Arbeitgebers.</w:t>
      </w:r>
    </w:p>
    <w:p>
      <w:pPr>
        <w:pStyle w:val="Heading2"/>
      </w:pPr>
      <w:r>
        <w:t>Erwägungen</w:t>
      </w:r>
    </w:p>
    <w:p>
      <w:r>
        <w:rPr>
          <w:b/>
        </w:rPr>
        <w:t>E. 45</w:t>
      </w:r>
    </w:p>
    <w:p>
      <w:r>
        <w:t>Rappen/km; für jeden weiteren km 35 Rappen/km (vgl. zum Ganzen § 3 Abs. 1 lit. d StVO Nr. 13; siehe auch Art. 3 und 5 der eidg. Berufskostenverordnung). 2.2 Nach der allgemeinen Beweislastregel hat die Veranlagungsbehörde die steuerbegründenden oder -erhöhenden Tatsachen nachzuweisen, die steuerpflichtige Person dagegen jene Tatsachen, welche die Steuerschuld mindern oder aufheben. Mithin obliegt dem Rekurrenten im Rechtsmittelverfahren die Pflicht zur substantiierten Sachdarstellung und die Beweislast für den von ihm geschilderten Sachverhalt ( Richner et al., a.a.O., Art. 123 N 77 und Art. 140 N 55). 3.1 Im vorliegenden Fall arbeitet der Rekurrent als Aussendienstmitarbeiter bzw. technischer Verkaufsberater bei der B AG, Y. Sein Einsatzgebiet ist das Z Unterland. Die B AG hat ein Spesenreglement, das vom Kanton C genehmigt worden ist. Der Rekurrent hat im Jahr 2016 Autospesen von total rund CHF 16‘122 erhalten (inkl. Amortisationsentschädigung). Zusätzlich zu den Autospesen, welche laut Rekurrent nicht den "Arbeitsweg" betreffen würden, will er den Betrag von CHF 16‘370 (220 x 130 km) abziehen für den Weg von X (Wohnort) ins Z Unterland (Arbeitsort). Die Vorinstanz anerkennt dagegen diese Wegkosten nicht, sondern subtrahiert die erhaltene Entschädigung des Arbeitgebers von den Kosten sämtlicher gefahrener geschäftlicher Kilometer. Sie hat einen Nachweis verlangt für die gefahrenen Kilometer. Die verlangten Unterlagen sind indes nur unvollständig eingereicht worden (Rechnung … vom 26.9.2017; Wartungsnachweis Auto). 3.2 Aufgrund der Unterlagen und Angaben hat der Rekurrent keinen fixen Arbeitsort. Er fährt täglich von zu Hause in X zu seinen Kunden im Z Unterland. Ein fester Arbeitsweg kann daher beim Rekurrenten nicht definiert werden, auch wenn nach dem Gesagten täglich eine erhebliche Strecke zurückgelegt wird. Die Methode der Vorinstanz der Berechnung der gesamten geschäftlichen Kilometerkosten abzüglich der Entschädigung des Arbeitgebers ist damit nicht zu beanstanden. Der Rekurrent hat die gefahrenen Kilometer weder im Veranlagungs- noch im Einsprache- oder vorliegenden Rechtsmittelverfahren nachgewiesen. Er steht in dieser Hinsicht nach dem Gesagten aber in der Beweispflicht. Somit sind die gefahrenen Kilometer zu schätzen. Die Vorinstanz ist dabei von 190 km/Tag ausgegangen, 130 km für den Weg von X ins Z Unterland und zurück sowie weitere 60 km im Z Unterland. Diese Schätzung erscheint nicht als unangemessen. Es gibt daher im vorliegenden Fall keinen Grund, in das Ermessen der Vorinstanz einzugreifen. Die Rechtsmittel sind damit unbegründet. 3.3 Was der Rekurrent weiter einwendet, kann zu keinem andern Ergebnis führen. Dass im konkreten Fall das Spesenreglement anzuwenden ist, wird von der Vorinstanz nicht bestritten. Wie gesehen ist deren Vorgehensweise entgegen der Ansicht des Rekurrenten nicht zu beanstanden, v.a. weil dieser keinen festen Arbeitsort hat. Eine Vermengung von Arbeitsweg und geschäftlich gefahrenen Kilometern kann hier damit entgegen seiner Auffassung nicht stattfinden (vgl. dazu Grundsätzliche Entscheide des Steuergerichts KSGE 2014 Nr. 11 E. 2.1 mit Hinw.; Bundesgericht 2C_630/2012, 2C_631/2012 vom 20.2.2013; siehe zum Ganzen auch KSG vom 22.5.2017, SGSTA.2017.4; BST.2017.4 betr. den Rekurrenten). Dass der Rekurrent nach seinen Angaben in X kein Home-Office, sondern ein Back-Office in Y habe, ändert nichts daran, dass er nach den Angaben und Unterlagen von X täglich ins Z Unterland zu seinen Kunden fährt. Ob der Rekurrent im Jahr 2016 auch private Fahrten unternommen hat, kann hier offenbleiben, zumal kein Fahrtenbuch vorhanden ist. Gegen die vorliegende Schätzung der Vorinstanz (41'800 km: 220 Tage x 130 km = 28'600 km; 220 Tage x 60 Tage = 13'200 km) ist nichts einzuwenden; diese Schätzung erscheint aufgrund der vorliegenden Umstände als angemessen, sie ist wie gesagt auch nicht nachweislich widerlegt worden. Im Übrigen würde eine Parteiverhandlung wie gesehen zu keinem andern Resultat führen. Rekurs und Beschwerde sind somit abzuweisen. 4.    Bei diesem Verfahrensausgang hat der unterliegende Rekurrent die Kosten zu tragen (§ 163 Abs. 1 StG). Diese Kosten sind in Anwendung der §§ 3 und 150 des Gebührentarifs (BGS 615.11) auf CHF 1'125 festzusetzen (Grundgebühr: CHF 1'000; Zuschlag: CHF 125).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