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SGSTA.2016.90 vom 26. Juni 2017</w:t>
      </w:r>
    </w:p>
    <w:p>
      <w:r>
        <w:t>SO Obergericht, 2017-06-26, DE</w:t>
      </w:r>
    </w:p>
    <w:p>
      <w:r>
        <w:rPr>
          <w:b/>
        </w:rPr>
        <w:t xml:space="preserve">Quelle: </w:t>
      </w:r>
      <w:r>
        <w:t>https://mcp.opencaselaw.ch/entscheid/so_gerichte_SGSTA.2016.90</w:t>
      </w:r>
    </w:p>
    <w:p>
      <w:r>
        <w:t>FR: SO_GERICHTE SGSTA.2016.90 du 26 juin 2017</w:t>
      </w:r>
    </w:p>
    <w:p>
      <w:r>
        <w:t>IT: SO_GERICHTE SGSTA.2016.90 del 26 giugno 2017</w:t>
      </w:r>
    </w:p>
    <w:p>
      <w:pPr>
        <w:pStyle w:val="Heading2"/>
      </w:pPr>
      <w:r>
        <w:t>Regeste</w:t>
      </w:r>
    </w:p>
    <w:p>
      <w:r>
        <w:t>Verfahren, mündliche Verhandlung, Einkommen, unselbständige Erwerbstätigkeit, Holdback, § 161 Abs. 2 StG, § 21 Abs. 1 und 3, § 22 Abs. 1 StG, Art. 16 Abs. 1 und 3, Art. 17 Abs. 1 DBG.Weder aus der BV noch aus der EMRK ist im Rekursverfahren ein Anspruch auf mündliche Verhandlung ableitbar. Weite Auslegung des Einkommensbegriffs; in casu Holdback bzw. Erlös aus einem Aktienverkauf, arbeitsrechtliche Komponente des Vertrags, kein steuerfreier Kapitalgewinn, sondern steuerbares Erwerbseinkommen.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November 2018 abgewiesen)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