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SGSTA.2012.8 vom 8. Dezember 2009</w:t>
      </w:r>
    </w:p>
    <w:p>
      <w:r>
        <w:t>SO Obergericht, 2009-12-08, DE</w:t>
      </w:r>
    </w:p>
    <w:p>
      <w:r>
        <w:rPr>
          <w:b/>
        </w:rPr>
        <w:t xml:space="preserve">Quelle: </w:t>
      </w:r>
      <w:r>
        <w:t>https://mcp.opencaselaw.ch/entscheid/so_gerichte_SGSTA.2012.8</w:t>
      </w:r>
    </w:p>
    <w:p>
      <w:r>
        <w:t>FR: SO_GERICHTE SGSTA.2012.8 du 8 décembre 2009</w:t>
      </w:r>
    </w:p>
    <w:p>
      <w:r>
        <w:t>IT: SO_GERICHTE SGSTA.2012.8 del 8 dicembre 2009</w:t>
      </w:r>
    </w:p>
    <w:p>
      <w:pPr>
        <w:pStyle w:val="Heading2"/>
      </w:pPr>
      <w:r>
        <w:t>Regeste</w:t>
      </w:r>
    </w:p>
    <w:p>
      <w:r>
        <w:t>StG § 170, DBG Art. 151 - Nachsteuerverfahren, VoraussetzungenDie Nachsteuer hat keinen Strafcharakter, sie wird infolge einer Unterbesteuerung erhoben, um einen Steuerausfall des Gemeinwesens auszugleichen. Hat hier die Steuerbehörde ihre Praxis bezüglich Wegentschädigung angepasst oder ist die Unterbesteuerung auf neue Tatsachen zurückzuführen?</w:t>
      </w:r>
    </w:p>
    <w:p>
      <w:pPr>
        <w:pStyle w:val="Heading2"/>
      </w:pPr>
      <w:r>
        <w:t>Erwägungen</w:t>
      </w:r>
    </w:p>
    <w:p>
      <w:r>
        <w:rPr>
          <w:b/>
        </w:rPr>
        <w:t>E. 8</w:t>
      </w:r>
    </w:p>
    <w:p>
      <w:r>
        <w:t>Dezember 2009 ausgelöst. In diesem Schreiben war festgehalten worden, dass man festgestellt habe, dass in der Wegentschädigung der Weibel auch eine Lohnkomponente enthalten sei. Ausgangspunkt des Nachsteuerverfahrens war somit ein Schriftstück des Arbeitgebers. Hätte dieses Schriftstück ein Arbeitgeber aus der Privatwirtschaft verfasst, wäre es offensichtlich, dass dieses Schriftstück für die Vorinstanz ein neues Beweismittel wäre, das eine neue Tatsache beinhaltet. Dass die Rekurrenten nun nicht in der Privatwirtschaft arbeiten, sondern Staatsangestellte (im Nebenamt) sind, kann sie vor der Eröffnung eines Nachsteuerverfahrens nicht schützen. Zu Recht hat die Vorinstanz dazu in ihrer Vernehmlassung vom 17. Februar 2012 festgehalten, dass sie sich das Wissen anderer kantonaler Dienststellen nicht anrechnen lassen muss (BGer 28.1.2008, StE 2008 B 97.41 Nr. 22; Richner/Frei/Kaufmann/Meuter, a.a.O., Art. 151 N 24). Anders wäre der Sachverhalt zu beurteilen gewesen, wenn die Veranlagungsbehörde ohne äussere Veranlassung ihre bisherige Praxis aufgrund einer neuen Gesetzesauslegung angepasst hätte. In diesem Fall wäre die Eröffnung eines Nachsteuerverfahrens nicht zulässig gewesen.</w:t>
      </w:r>
    </w:p>
    <w:p>
      <w:r>
        <w:t>4.3. In ihrer Beschwerde machen die Rekurrenten geltend, dass die Vorinstanz die Gesetze kennen und richtig anwenden müsse. Im Endeffekt behaupten somit die Rekurrenten, dass die Tatsache, dass die Wegentschädigung auch eine Lohnkomponente beinhalte, für die Vorinstanz, als das Nachsteuerverfahren eröffnet wurde, nicht neu sein durfte. Neu sind Tatsachen und Beweismittel für die Steuerbehörde, wenn sie während des Veranlagungs- oder Rechtsmittelverfahrens nicht aktenkundig waren. Ob sie von der Steuerbehörde zur Kenntnis genommen wurden, spielt demgegenüber keine Rolle. Zweifellos kann hier festgehalten werden, dass in den Akten kein Hinweis auf die Lohnkomponente zu finden war. Die Rekurrenten haben die gesamte Wegentschädigung laut eigenen Aussagen bis zum Jahr 2006 als Spesen und danach - weil die Wegentschädigung nicht mehr auf dem Lohnausweis erschien - überhaupt nicht mehr deklariert. In den massgebenden Gesetzesartikeln war die Lohnkomponente auch nicht ohne weiteres ersichtlich. In Art. 14 Abs. 1 GebV SchKG ist lediglich festgehalten, dass die Wegentschädigung, einschliesslich Transportkosten, 2 Franken betrage für jeden Kilometer des Hin- und des Rückwegs. Demgegenüber ist in § 161 Abs. 1 GAV festgehalten, dass Staatsangestellte für die Benützung privater Personenwagen für die ersten 7'000 pro Jahr gefahrenen Kilometer eine Entschädigung von 70 Rappen pro Kilometer erhalten. Hier von der Vorinstanz zu verlangen, die Lohnkomponente ohne weiteres zu erkennen, geht zu weit. Nach Lehre und Rechtsprechung ist die Neuheit von Tatsachen oder Beweismitteln auch dann noch zu bejahen, wenn die Steuerbehörde die fraglichen Sachkenntnisse bei besserer Untersuchung schon früher hätte erlangen können (Vallender/Looser, a.a.O., Art. 151 DBG N 8). Für die Frage der Neuheit stehen die Prinzipien der objektiven Gesetzmässigkeit und der Rechtsgleichheit in einem Spannungsfeld zum Grundsatz der Rechtssicherheit und zum Vertrauensprinzip. Entscheidend ist dabei eine Würdigung der jeweiligen Pflichten der steuerpflichtigen Person einerseits und der Steuerbehörde andererseits (Richner/Frei/Kaufmann/Meuter, a.a.O., Art. 151 N 26; BGer 25.4.2003 = ASA 73 S. 482 = StE 2003 B 97.41 Nr. 15). Die Veranlagungsbehörde darf sich grundsätzlich auf die Richtigkeit der Steuererklärung verlassen. Angesichts der grossen Zahl von Steuererklärungen kann von der Veranlagungsbehörde nicht verlangt werden, den Sachverhalt nach allen Richtungen auszuleuchten (StE 1986 B 97.43 Nr. 3).</w:t>
      </w:r>
    </w:p>
    <w:p>
      <w:r>
        <w:t>Auf der andern Seite gilt es aber auch festzuhalten, dass die direkten Steuern nicht im Selbstveranlagungsverfahren, sondern im gemischten Veranlagungsverfahren erhoben werden. Von der steuerpflichtigen Person darf daher zwar die korrekte Deklaration des Sachverhalts, nicht aber auch die vollumfänglich korrekte Rechtsanwendung verlangt werden. Die Steuerdeklarationsformulare beinhalten bekanntlich auch einige Rechtsfragen. Die korrekte Rechtsanwendung ist nicht Sache des Bürgers, sondern der Steuerbehörden (Richner/Frei/Kaufmann/Meuter, a.a.O., Art. 151 N 29).</w:t>
      </w:r>
    </w:p>
    <w:p>
      <w:r>
        <w:t>Vorliegend wäre es aber verfehlt, der Vorinstanz einfach eine jahrelange falsche Rechtsanwendung vorzuwerfen, die im Jahr 2009 rückwirkend durch eine Praxisänderung korrigiert worden wäre. Ob eine Wegentschädigung eine Lohnkomponente beinhaltet, ist für die Veranlagungsbehörde nicht ohne weiteres ersichtlich. Letztlich ist es eine Tatsache, dass die Rekurrenten den Lohn in objektiver Hinsicht nicht korrekt deklariert hatten. Die Lohnkomponente in der Wegentschädigung war fälschlicherweise nicht als Einkommen deklariert worden, weil den Rekurrenten gar nicht bewusst war, dass die Wegentschädigung über den reinen Auslagenersatz hinaus auch noch eine Lohnkomponente beinhaltete. Das fehlende Unrechtsbewusstsein darf hier aber keine Rolle spielen, weil das Nachsteuerverfahren (vgl. E. 3 oben) nicht vom Verschulden des Steuerpflichtigen abhängig ist. Auf die Aussprechung einer verschuldensabhängigen Busse wurde bekanntlich verzichtet. Die Veranlagungsbehörde ist aber auf die korrekte Deklaration im Lohnausweis und in der Steuererklärung angewiesen. Eine weitergehende Sachverhaltsabklärung kann von der Steuerbehörde nur verlangt werden, wenn Unklarheiten oder Unvollständigkeiten in der Deklaration offensichtlich sind. Davon kann hier aber keine Rede sein (Richner/ Frei/ Kaufmann/ Meuter, a.a.O., Art. 151 N 30 und 32). Die Veranlagungsbehörde ist daher ihren Pflichten nachgekommen. Sobald sie vom Arbeitgeber der Rekurrenten über die Lohnkomponente in der Wegentschädigung orientiert worden war, hat sie das Nachsteuerverfahren berechtigterweise eingeleitet.</w:t>
      </w:r>
    </w:p>
    <w:p>
      <w:r>
        <w:t>Steuergericht, Urteil vom 18. Juni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