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SGSTA.2010.25 vom 14. März 2011</w:t>
      </w:r>
    </w:p>
    <w:p>
      <w:r>
        <w:t>SO Obergericht, 2011-03-14, DE</w:t>
      </w:r>
    </w:p>
    <w:p>
      <w:r>
        <w:rPr>
          <w:b/>
        </w:rPr>
        <w:t xml:space="preserve">Quelle: </w:t>
      </w:r>
      <w:r>
        <w:t>https://mcp.opencaselaw.ch/entscheid/so_gerichte_SGSTA.2010.25</w:t>
      </w:r>
    </w:p>
    <w:p>
      <w:r>
        <w:t>FR: SO_GERICHTE SGSTA.2010.25 du 14 mars 2011</w:t>
      </w:r>
    </w:p>
    <w:p>
      <w:r>
        <w:t>IT: SO_GERICHTE SGSTA.2010.25 del 14 marzo 2011</w:t>
      </w:r>
    </w:p>
    <w:p>
      <w:pPr>
        <w:pStyle w:val="Heading2"/>
      </w:pPr>
      <w:r>
        <w:t>Regeste</w:t>
      </w:r>
    </w:p>
    <w:p>
      <w:r>
        <w:t>StG § 16 - Steuerpflicht, stille Gesellschaft; Steuerumgehung. Begriff der stillen Gesellschaft. Wird eine solche geltend gemacht, werden auch die stillen Gesellschafter steuerpflichtig. Liegt keine Steuerumgehung vor, sind die Auszahlungen an die stillen Gesellschafter als geschäftsmässiger Aufwand der Hauptgesellschaft anzuerkennen.</w:t>
      </w:r>
    </w:p>
    <w:p>
      <w:pPr>
        <w:pStyle w:val="Heading2"/>
      </w:pPr>
      <w:r>
        <w:t>Erwägungen</w:t>
      </w:r>
    </w:p>
    <w:p>
      <w:r>
        <w:rPr>
          <w:b/>
        </w:rPr>
        <w:t>E. 10</w:t>
      </w:r>
    </w:p>
    <w:p>
      <w:r>
        <w:t>A., § 15 N 39; a.M. BGE 81 II 524 f.). In diesen Fällen rechtfertigt es sich, die Regelungen der einfachen Gesellschaft vollumfänglich, d.h. auch im Aussenverhältnis zur Anwendung zu bringen.</w:t>
      </w:r>
    </w:p>
    <w:p>
      <w:r>
        <w:t>4.         Aus den vorstehenden allgemeinen Ausführungen zur stillen Gesellschaft folgt, dass der Hauptgesellschaft die gesamten von der stillen Gesellschaft erwirtschafteten Gewinne allein zu versteuern hat, solange das Gesellschaftsverhältnis den Steuerbehörden nicht bekannt gegeben wird. Mangels Kenntnis weiterer Steuerpflichtiger wäre es den Steuerbehörden auch gar nicht möglich, die Steuerfolgen auf die stillen Gesellschafter auszudehnen. Wird nun den Steuerbehörden aber bekannt gegeben, dass hinter dem Hauptgesellschafter eine stille Gesellschaft steht, werden auch die stillen Gesellschafter steuerpflichtig. Massgebend ist in diesen Fällen nach herrschender Lehre somit stets das interne Gesellschaftsverhältnis (E. Känzig, Wehrsteuer [Direkte Bundessteuer], Art. 3 N 18; P. Locher, Kommentar zum DBG, Art. 4 N 19; Richner/Frei/Kaufmann/Meuter, Handkommentar zum DBG, Art. 10 N 23; RB ZH 1952 Nr. 4; R. Schäuble, Die Besteuerung der Personengesellschaften, S. 54 FN 113).</w:t>
      </w:r>
    </w:p>
    <w:p>
      <w:r>
        <w:t>Beruft sich ein Steuerpflichtiger auf die Existenz einer stillen Gesellschaft als steuermindernden Faktor, ist er für ihre Existenz beweispflichtig (Klöti-Weber/Siegrist/ Weber, Kommentar zum Aargauer Steuergesetz, § 9 N 5; VGE AG vom 21.3.1994). Es kann hier auf die analogen Verhältnisse wie beim gesetzlich geregelten Treuhandverhältnis verwiesen werden. Auch hier werden die steuerbaren Leistungen und Werte nicht dem wirtschaftlich berechtigten Treugeber, sondern dem Treuhänder zugerechnet, wenn das Treuhandverhältnis nicht einwandfrei nachgewiesen werden kann (§ 16 StG; Richner/Frei/Kaufmann/Meuter, a.a.O., Art. 126 N 22).</w:t>
      </w:r>
    </w:p>
    <w:p>
      <w:r>
        <w:t>5.         Vorliegend beruft sich die Rekurrentin darauf, dass mit Vertrag vom 1. August 2007 zwischen ihr und D., E., F., G., H., I., J., und K. eine stille Gesellschaft gegründet worden sei. Laut diesem Vertrag sind die erwähnten Gesellschafter Eigentümer der Liegenschaften an der A. Strasse sowie an der B. Strasse in Olten. Intern ist die Rekurrentin an dieser stillen Gesellschaft mit 28 % beteiligt. Dem Vertrag kann weiter entnommen werden, dass gegen aussen nur die Rekurrentin als Grundeigentümerin im Grundbuch eingetragen sei, dass die Gewinne und Verluste aber anteilmässig geteilt würden und dass das Verwaltungsratsmit­glied der Rekurrentin, L., beauftragt werde, die Liegenschaften zum Minimalpreis von Fr. 41'000'000.-- zu verkaufen. Dass mit dem Vertrag vom 1. August 2007 eine stille Gesellschaft gegründet worden ist, wird auch vom Steueramt des Kantons Solothurn nicht bestritten.</w:t>
      </w:r>
    </w:p>
    <w:p>
      <w:r>
        <w:t>6.         Im Rahmen der Vernehmlassung stellt sich nun das Steueramt auf den Standpunkt, dass die Bildung einer stillen Gesellschaft als Steuerumgehung zu werten sei. Mit der stillen Gesellschaft werde beabsichtigt, die wirtschaftliche Doppelbelastung zu umgehen. Von einer Steuerumgehung kann aber nach herrschender Lehre und Rechtsprechung nur dann gesprochen werden, wenn nur um der Steuerersparnis willen ein ungewöhnliches Vorgehen gewählt wird (Richner/Frei/Kaufmann/Meuter, a.a.O., VB zu Art. 109 - 121 N 44 mit zahlreichen Hinweisen zur Rechtsprechung). Das ungewöhnliche Vorgehen sieht das Steueramt im Umstand, dass einzig und allein die Rekurrentin in sämtlichen Dokumenten, Verträgen und öffentlichen Urkunden als Alleineigentümerin der Grundstücke auftrete und die Existenz der stillen Gesellschaft mit keiner Silbe erwähnt werde. Dass aber ausschliesslich der Hauptgesellschafter gegen aussen auftritt und die stillen Gesellschafter im Hintergrund bleiben, liegt in der Natur jeder stillen Gesellschaft. Solange daher die Gründung einer stillen Gesellschaft zivilrechtlich erlaubt ist (BGE 81 II 524 f.), kann die blosse Gründung einer stillen Gesellschaft nicht als ungewöhnliches Vorgehen bezeichnet werden, zumal es durchaus auch wirtschaftlich legitime Gründe für die Gründung einer solchen geben kann (vgl. Meier-Hayoz/Forstmoser,a.a.O., § 15 N 51 ff.; W. von Steiger, a.a.O., S. 653 f.).</w:t>
      </w:r>
    </w:p>
    <w:p>
      <w:r>
        <w:t>Ein ungewöhnliches Vorgehen könnte allenfalls darin gesehen werden, dass eine stille Gesellschaft aus dem einzig ersichtlichen Grund gegründet wird, um Steuern sparen zu können. Dies trifft aber hier nicht zu. Zu Recht weist die Rekurrentin im Rahmen der Replik auf die unbestrittenen Vorteile der stillen Gesellschaft bei der Abwicklung dieses Grundstückgeschäfts hin. In der Tat kann die Durchführung eines komplexen Grundstückkaufs (Verhandlungsführung, Vertragsgestaltung, Abwicklung auf dem Grundbuchamt etc.) erheblich vereinfacht werden, wenn pro Vertragspartei nur ein und nicht zehn oder mehr Ansprechpartner vorhanden sind. In casu ist es während den Verhandlungen zu einem Ausfall eines stillen Gesellschafters gekommen. Dieser Ausfall konnte intern relativ einfach geregelt werden, ohne dass die Vertragsabwicklung dadurch in irgendeiner Form beeinflusst worden wäre.</w:t>
      </w:r>
    </w:p>
    <w:p>
      <w:r>
        <w:t>Damit eine stille Gesellschaft steuerlich anerkannt werden kann, ist erforderlich, dass sie nachweisbar vor der Durchführung der entsprechenden Geschäfte gegründet wurde (VGE AG vom 21.3.1994). Dies trifft hier zu. Die stille Gesellschaft ist bereits am 1. August 2007 gegründet worden. Zu diesem Zeitpunkt übernahm die Rekurrentin von der Pensionskasse der früheren Eigentümerin Nutzen und Gefahr der erwähnten Oltner Grundstücke. Damals stand noch in keiner Art und Weise fest, ob aus dem Verkauf der Grundstücke ein steuerbarer Gewinn resultieren wird.</w:t>
      </w:r>
    </w:p>
    <w:p>
      <w:r>
        <w:t>Auch buchhalterisch hat sich die Rekurrentin konsequent verhalten, indem sie in ihrer Jahresrechnung 2007 nur ihren eigenen Anteil am Verkaufsgewinn und den Mieterträgen deklariert oder die Schulden gegenüber den Mitgesellschaftern zumindest bilanziert hat. Festgehalten werden kann zudem, dass der erzielte Grundstückgewinn korrekt auf die übrigen stillen Gesellschafter aufgeteilt wurde. Aufgrund der eingereichten Steuererklärungen der übrigen Gesellschafter kann festgehalten werden, dass die Gesellschafter die Gewinne aus den hier massgebenden Geschäften ebenfalls ordnungsgemäss deklariert haben.</w:t>
      </w:r>
    </w:p>
    <w:p>
      <w:r>
        <w:t>Dass vorliegend ausschliesslich die Rekurrentin zivilrechtlich Eigentümerin der Grundstücke war, ist nicht massgebend, zumal beispielsweise steuerlich auch anerkannt wird, dass ein im Grundbuch eingetragener Grundeigentümer eine Liegenschaft nur treuhänderisch innehaben kann (vgl. Merkblatt "Treuhandverhältnisse" der ESTV vom Oktober 1967, Nachdruck 1993). Zusammenfassend kann daher die Gründung der stillen Gesellschaft nicht als ungewöhnlicher Vorgang bezeichnet werden. Ob der Wille, Steuern zu sparen vorhanden war und auch effektiv Steuern gespart wurden muss bei dieser Sachlage nicht mehr geprüft werden. Eine Steuerumgehung liegt nicht vor.</w:t>
      </w:r>
    </w:p>
    <w:p>
      <w:r>
        <w:t>7.         Nachdem keine Steuerumgehung vorliegt und auch sonst kein Grund ersichtlich ist, warum die gewählte Konstruktion der stillen Gesellschaft steuerlich nicht anerkannt werden sollte, ist der Rekurs gutzuheissen. Daraus folgt, dass die an die stillen Gesellschafter vorgenommenen Auszahlungen des Verkaufsgewinns und der Mieterträge als geschäftsmässiger Aufwand anzuerkennen sind. Die Rekurrentin hat somit - wie von ihr deklariert - ausschliesslich ihren Anteil von 32% der Einnahmen aus diesem Geschäft zu versteuern. Die restlichen Gewinne und Erträge sind bei den übrigen stillen Gesellschaftern zu besteuern. Rekurs und Beschwerde sind gutzuheissen.</w:t>
      </w:r>
    </w:p>
    <w:p>
      <w:r>
        <w:t>Steuergericht, Urteil vom 14. März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