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SO_GERICHTE SGNEB.2012.3 vom 22. April 2013</w:t>
      </w:r>
    </w:p>
    <w:p>
      <w:r>
        <w:t>SO Obergericht, 2013-04-22, DE</w:t>
      </w:r>
    </w:p>
    <w:p>
      <w:r>
        <w:rPr>
          <w:b/>
        </w:rPr>
        <w:t xml:space="preserve">Quelle: </w:t>
      </w:r>
      <w:r>
        <w:t>https://mcp.opencaselaw.ch/entscheid/so_gerichte_SGNEB.2012.3</w:t>
      </w:r>
    </w:p>
    <w:p>
      <w:r>
        <w:t>FR: SO_GERICHTE SGNEB.2012.3 du 22 avril 2013</w:t>
      </w:r>
    </w:p>
    <w:p>
      <w:r>
        <w:t>IT: SO_GERICHTE SGNEB.2012.3 del 22 aprile 2013</w:t>
      </w:r>
    </w:p>
    <w:p>
      <w:pPr>
        <w:pStyle w:val="Heading2"/>
      </w:pPr>
      <w:r>
        <w:t>Regeste</w:t>
      </w:r>
    </w:p>
    <w:p>
      <w:r>
        <w:t>StG § 169, StG § 233 Abs. 11. Begriff des Kanzleifehlers. Ein solcher liegt nicht vor, wenn mit der Berichtigung gleichzeitig ein Veranlagungsfehler behoben wird.2. Voraussetzungen der Schenkungssteuer; ein Schenkungswille ist nicht Voraussetzung der Besteuerung nach solothurnischem Recht. Hier liegt eine gemischte Schenkung vor.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Februar 2012 sowie die diesem zugrunde liegende Veranlagung vom 21. Mai 2010 sind aufzuheben. Folgelogisch ist festzustellen, dass die Schenkungssteuerveranlagung vom 12. Januar 2010 in Rechtskraft erwachsen ist.</w:t>
      </w:r>
    </w:p>
    <w:p>
      <w:r>
        <w:t>Steuergericht, Urteil vom 22. April 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