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SGDIV.2018.3 vom 8. März 2018</w:t>
      </w:r>
    </w:p>
    <w:p>
      <w:r>
        <w:t>SO Obergericht, 2018-03-08, DE</w:t>
      </w:r>
    </w:p>
    <w:p>
      <w:r>
        <w:rPr>
          <w:b/>
        </w:rPr>
        <w:t xml:space="preserve">Quelle: </w:t>
      </w:r>
      <w:r>
        <w:t>https://mcp.opencaselaw.ch/entscheid/so_gerichte_SGDIV.2018.3</w:t>
      </w:r>
    </w:p>
    <w:p>
      <w:r>
        <w:t>FR: SO_GERICHTE SGDIV.2018.3 du 8 mars 2018</w:t>
      </w:r>
    </w:p>
    <w:p>
      <w:r>
        <w:t>IT: SO_GERICHTE SGDIV.2018.3 del 8 marzo 2018</w:t>
      </w:r>
    </w:p>
    <w:p>
      <w:pPr>
        <w:pStyle w:val="Heading2"/>
      </w:pPr>
      <w:r>
        <w:t>Regeste</w:t>
      </w:r>
    </w:p>
    <w:p>
      <w:r>
        <w:t>Steuerpflicht, juristische Personen, Sitzverlegung, Art. 22 StHG.Das Steueramt ist berechtigt, bei Sitzverlegung einer juristischen Person in einen anderen Kanton eine Veranlagung inkl. Steuerrevision vorzunehmen. Hier ist eine viertägige Revision für vier Gesellschaften an deren Sitz verhältnismässig.</w:t>
      </w:r>
    </w:p>
    <w:p>
      <w:pPr>
        <w:pStyle w:val="Heading2"/>
      </w:pPr>
      <w:r>
        <w:t>Erwägungen</w:t>
      </w:r>
    </w:p>
    <w:p>
      <w:r>
        <w:rPr>
          <w:b/>
        </w:rPr>
        <w:t>E. 3</w:t>
      </w:r>
    </w:p>
    <w:p>
      <w:r>
        <w:t>und 150 des Gebührentarifs (BGS 615.11). Die Rekurrentin hat die Kosten des Rekursverfahrens von CHF 1‘000 (Grundgebühr; kein Zuschlag) zu bezahlen. Eine Parteientschädigung ist ausgangsgemäss nicht zuzusprechen.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