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SGDIV.2017.2 vom 20. Februar 2017</w:t>
      </w:r>
    </w:p>
    <w:p>
      <w:r>
        <w:t>SO Obergericht, 2017-02-20, DE</w:t>
      </w:r>
    </w:p>
    <w:p>
      <w:r>
        <w:rPr>
          <w:b/>
        </w:rPr>
        <w:t xml:space="preserve">Quelle: </w:t>
      </w:r>
      <w:r>
        <w:t>https://mcp.opencaselaw.ch/entscheid/so_gerichte_SGDIV.2017.2</w:t>
      </w:r>
    </w:p>
    <w:p>
      <w:r>
        <w:t>FR: SO_GERICHTE SGDIV.2017.2 du 20 février 2017</w:t>
      </w:r>
    </w:p>
    <w:p>
      <w:r>
        <w:t>IT: SO_GERICHTE SGDIV.2017.2 del 20 febbraio 2017</w:t>
      </w:r>
    </w:p>
    <w:p>
      <w:pPr>
        <w:pStyle w:val="Heading2"/>
      </w:pPr>
      <w:r>
        <w:t>Regeste</w:t>
      </w:r>
    </w:p>
    <w:p>
      <w:r>
        <w:t>Wehrpflichtersatzabgabe, Schriftensperre.Voraussetzungen für Schriftensperre sind erfüllt bei Nichtbezahlung der Wehrpflichtersatzabgabe trotz rechtskräftiger Veranlagung; Verhältnismässigkeit der Sperre ist gewahrt.</w:t>
      </w:r>
    </w:p>
    <w:p>
      <w:pPr>
        <w:pStyle w:val="Heading2"/>
      </w:pPr>
      <w:r>
        <w:t>Erwägungen</w:t>
      </w:r>
    </w:p>
    <w:p>
      <w:r>
        <w:rPr>
          <w:b/>
        </w:rPr>
        <w:t>E. 8</w:t>
      </w:r>
    </w:p>
    <w:p>
      <w:r>
        <w:t>Abs. 1 WEPVo sieht nur die Zuständigkeit für die Beurteilung von Beschwerden nach den Vorschriften des Bundes über die Wehrpflichtersatzabgabe vor. Es liegt somit eine Gesetzeslücke vor (vgl. dazu etwa BGE 138 II 1 E. 4.2 mit Hinw.), weil die heutige Gesetzgebung im Kanton Solothurn keine zuständige richterliche Behörde bezeichnet und auch nicht von einem qualifizierten Schweigen des Gesetzgebers auszugehen ist (vgl. Urteil des Obergerichts des Kantons Uri vom 6.2.2015, OG V 14 27). 1.3   Beim Schliessen einer Gesetzeslücke ist grundsätzlich diejenige Regel aufzustellen, welche der Gesetzgeber am ehesten aufgestellt hätte, wenn er an den Regelungsbedarf gedacht hätte (vgl. Art. 1 Abs. 2 ZGB; BGE 135 II 1 E. 3.5). Das Steuergericht ist wie gesehen aufgrund der heutigen Regelung zuständig zur Behandlung aller Beschwerden im Bereich der Wehrpflichtersatzabgabe. Darunter fallen insbesondere auch solche gegen die Festsetzung derselben (vgl. Art. 49 Abs. 1 lit. a WPEV), gegen deren Festsetzung vor einem Aus-landaufenthalt (vgl. Art. 49 Abs. 1 lit. b WPEV und Art. 25 Abs. 3 WPEG) und auch gegen eine Sicherstellungsverfügung (vgl. Art. 49 Abs. 1 lit. c WPEV und Art. 36 Abs. 1 lit. a WPEG). Bei der Prüfung eines Antrags auf Schriftensperre muss das zuständige Gericht vorfrageweise prüfen, ob die Abgabe rechtskräftig festgesetzt oder die Sicherstellungsver-fügung korrekt erlassen worden ist. Aufgrund des engen sachlichen Zusammenhangs von Streitigkeiten betreffend Wehrpflichtersatzabgabe und Anordnung einer Schriftensperre im Sinne von Art. 49 Abs. 2 WPEV drängt sich die Zuständigkeit des Steuergerichts auf. Eine gesetzliche Nachführung bleibt aber angezeigt. Gemäss § 3 Abs. 3 des Geschäftsreglements des Kantonalen Steuergerichts (BGS 125.932) entscheidet der Präsident alle Angelegenheiten, soweit die Zuständigkeit nicht anderweitig geregelt ist. Dementsprechend ist vorderhand der Präsident zur Behandlung des vorliegenden Antrags zuständig. 2.    Es fehlen besondere Bestimmungen, die das vorliegende Verfahren regeln würden. Indessen geht es hier um eine Art ursprüngliche Verwaltungsrechtspflege. Diese kommt nur zum Zuge, wenn eine Streitsache nicht vorher von den Verwaltungsbehörden durch Verfügung geregelt worden ist (vgl. häfelin/müller/uhlmann , Allgemeines Verwaltungsrecht, 6. A., Zürich 2010, N 1854). Der Antrag wurde formgerecht eingereicht. Für die Einreichung des Antrags ist keine Frist zu beachten. Auf den Antrag ist somit einzutreten. 3.    Die Antragstellerin ersucht um eine Schriftensperre im Sinne von Art. 49 WPEV. 3.1   Schweizer Bürger, die ihre Wehrpflicht nicht oder nur teilweise durch persönliche Dienstleistung (Militär- oder Zivildienst) erfüllen, haben einen Ersatz in Geld zu leisten (Art. 1 WPEG). Gemäss Art. 2 Abs. 1 WPEG sind die Wehrpflichtigen mit Wohnsitz im In- oder Ausland ersatzpflichtig, die im Ersatzjahr, das dem Kalenderjahr entspricht, während mehr als sechs Monaten nicht in einer Formation der Armee eingeteilt sind und nicht der Zivildienstpflicht unterstehen (lit. a) oder als Dienstpflichtige ihren Militär- oder Zivildienst nicht leisten (lit. c). Die Ersatzabgabe wird nach Art. 25 WPEG bei im Inland wohnhaften Ersatzpflichtigen jährlich veranlagt (Abs. 1 lit. a). Veranlagungsjahr ist in der Regel das auf das Ersatzjahr folgende Kalenderjahr (Abs. 2). Nach Art. 35 WPEG können die Ausstellung oder Verlängerung eines Schweizerpasses bei Wehrpflichtigen, die ins Ausland verreisen wollen, von der Bedingung abhängig gemacht werden, dass die geschuldeten Ersatzabgaben bezahlt oder sichergestellt werden (Abs. 1). Der Bundesrat stellt die Grundsätze auf, nach welchen die Sicherungsmassnahmen zu treffen sind. Er sorgt dafür, dass die persönlichen Interessen der Ersatzpflichtigen nicht unverhältnismässig beeinträchtigt werden (Abs. 2). Gemäss Art. 49 Abs. 1 WPEV kann einem Ersatzpflichtigen die Ausstellung eines Passes verweigert werden, wenn der Ersatzpflichtige rechtskräftig festgesetzte und fällige Ersatzabgaben schuldet (lit. a), der Ersatzpflichtige nach Art. 25 Abs. 3 WPEG festgesetzte Ersatzabgaben schuldet (lit. b) oder wenn eine Sicherstellungsverfügung nach Art. 36 Abs. 1 lit. a WPEG getroffen worden ist (lit. c). 3.2   Der Antragsgegner ist aufgrund der Unterlagen und Angaben ersatzpflichtig. Mit Veranlagungsverfügungen vom 3. November 2014 und 9. Juni 2016 wurden die fällig gewordenen (Art. 32 WPEG) Ersatzabgaben für die Jahre 2013 und 2014 (je CHF 400, exkl. Verzugszins) rechtskräftig veranlagt. Der Tatbestand von Art. 49 Abs. 1 lit. a WPEV ist somit erfüllt. Der Antragsgegner hat aufgrund der Angaben und Unterlagen diese Ersatzabgaben trotz rechtskräftiger Veranlagungen nicht bezahlt. 3.3   Nach Art. 35 Abs. 1 WPEG ist die Sicherung der Ersatzabgabe durch die Verweigerung der Ausstellung des Schweizer Passes damit verknüpft, dass ein Ersatzpflichtiger ins Ausland verreisen will. Es fragt sich, ob diese Regelung auch gilt, wenn ein Ersatzpflichtiger wie hier bereits ins Ausland verreist ist. In Art. 49 Abs. 1 WPEV wird die Zulässigkeit einer Pass- und Schriftensperre namentlich davon abhängig gemacht, ob der Ersatzpflichtige wie gesehen rechtskräftig festgesetzte und fällige Ersatzabgaben schuldet oder ob er nach Art. 25 Abs. 3 WPEG festgesetzte Abgaben schuldet. Nach Art. 49 Abs. 3 WPEV sind einem landesabwesenden Wehrpflichtigen der Pass oder andere Ausweisschriften nur durch Vermittlung der zuständigen schweizerischen Vertretung zuzustellen. Daraus kann gefolgt werden, dass die fragliche Sicherungsmassnahme auch anwendbar ist, wenn der Ersatz-pflichtige wie hier bereits ins Ausland verreist ist. 3.4   Mit der Pass- und Schriftensperre soll die Ersatzabgabe gesichert werden. Art. 49 Abs. 1 WPEV spricht denn davon, dass gegebenenfalls die Ausstellung eines Passes verweigert werden kann (vgl. auch Art. 35 Abs. 1 WPEG). Gegenstand der Sperre sind sämtliche Ausweisschriften, das heisst Pass und Identitätskarte. 3.5   Die Sperre muss dem Verhältnismässigkeitsprinzip genügen; alles staatliche Handeln muss verhältnismässig sein (Art. 5 Abs. 2 der Bundesverfassung, SR 101). Der Grundsatz der Verhältnismässigkeit verlangt, dass die in die Rechtsposition des Betroffenen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(BGE 135 I 215 E. 3.3.1). Solange die Antragstellerin die Zwangsvollstreckung (Art. 34 WPEG) zügig fortführt und die Möglichkeit der Ratenzahlung (Art. 37 Abs. 1 WPEG) offen hält, erweist sich die Schriftensperre als verhältnismässig. Vorliegend hat der Antragsgegner sich zur Schriftensperre nicht vernehmen lassen. Die Verhältnismässigkeit ist aufgrund der hier gegebenen Umstände indes gewahrt. Angesichts des geschuldeten Betrages von CHF 800 (exkl. Verzugszins) muss sich die Sperre in Grenzen halten. Jedenfalls fällt die Sperre ohne weiteres dahin, sobald der Antragsgegner die vorliegend geschuldeten Ersatzabgaben für die Jahre 2013 und 2014 vollständig bezahlt hat. Gleiches gilt, wenn das Zwangsvollstreckungsverfahren abgeschlossen ist, ungeachtet davon, ob die Forderungen gedeckt sind. Ansonsten unterliegt die Sperre keiner Befristung. 3.6   Nach dem Gesagten sind die Voraussetzungen für eine Schriftensperre erfüllt. Insbesondere liegen rechtskräftige Veranlagungen vor und hat der Antragsgegner die ausstehenden Ersatzabgaben nicht bezahlt. Zudem ist die Verhältnismässigkeit der Sperre gewahrt. Daher ist der Antrag auf Schriftensperre gutzuheissen. Die Schriften des Antragsgegners sind umgehend zu sperren. Das Ausweiszentrum ist anzuweisen, dem Antragsgegner die Ausstellung neuer Ausweispapiere zu verweigern. Die Antragstellerin hat bei vollständiger Bezahlung des Ausstandes oder nach Abschluss der Zwangsvollstreckung das Ausweiszentrum umgehend anzuweisen, die Schriftensperre aufzuheben. 4.    Für das vorliegende Verfahren hat der Antragsgegner als Verursacher die entstandenen Gerichtskosten zu tragen. Diese belaufen sich auf CHF 200 (§ 3 und analog § 150 Abs. 1 lit. a des Gebührentarifs, BGS 615.11).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