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SCBES.2026.45 vom 23. April 2026</w:t>
      </w:r>
    </w:p>
    <w:p>
      <w:r>
        <w:t>SO Obergericht, 2026-04-23, DE</w:t>
      </w:r>
    </w:p>
    <w:p>
      <w:r>
        <w:rPr>
          <w:b/>
        </w:rPr>
        <w:t xml:space="preserve">Quelle: </w:t>
      </w:r>
      <w:r>
        <w:t>https://mcp.opencaselaw.ch/entscheid/so_gerichte_SCBES.2026.45</w:t>
      </w:r>
    </w:p>
    <w:p>
      <w:r>
        <w:t>FR: SO_GERICHTE SCBES.2026.45 du 23 avril 2026</w:t>
      </w:r>
    </w:p>
    <w:p>
      <w:r>
        <w:t>IT: SO_GERICHTE SCBES.2026.45 del 23 aprile 2026</w:t>
      </w:r>
    </w:p>
    <w:p>
      <w:pPr>
        <w:pStyle w:val="Heading2"/>
      </w:pPr>
      <w:r>
        <w:t>Erwägungen</w:t>
      </w:r>
    </w:p>
    <w:p>
      <w:r>
        <w:rPr>
          <w:b/>
        </w:rPr>
        <w:t>E. 1</w:t>
      </w:r>
    </w:p>
    <w:p>
      <w:r>
        <w:t>Mit Eingabe vom 7. April 2026 (Datum Postaufgabe) erhebt A.___ als Schuldner fristgerecht Beschwerde gegen die Verfügung des Betreibungsamtes Olten-Gösgen vom 30. März 2026 und stellt folgende Rechtsbegehren:</w:t>
      </w:r>
    </w:p>
    <w:p>
      <w:r>
        <w:t>Der Beschwerdeführer bringt im Wesentlichen vor, in den Jahren 2024 und 2025 seien bei ihm krankheitsbedingte Selbstbehalte der obligatorischen Krankenpflegeversicherung in Höhe von insgesamt CHF 1'835.95 angefallen. Aufgrund der vollständigen Ausschöpfung seines betreibungsrechtlichen Existenzminimums sei es ihm damals nicht möglich gewesen, diese zu begleichen, worauf die Krankenkasse Betreibungen gegen ihn eingeleitet habe. Eine Übernahme dieser Kosten durch Ergänzungsleistungen sei nicht erfolgt, da die gesetzlicheObergrenze gemäss Art. 14 ELG bereits ausgeschöpft gewesen sei. Mit Gesuch vom 15. März 2026 habe er beim Betreibungsamt die nachträgliche Berücksichtigung dieser Kosten im Rahmen der Existenzminimumsberechnung gemäss Art. 93 SchKG beantragt, was vom Betreibungsamt mit Verfügung vom 30. März 2026 abgewiesen worden sei. Gemäss BGE 129 III 242, E. 4.3 sei die Beteiligung an Gesundheitskosten wie Franchise und Selbstbehalte dem Betreibungsschuldner wie Arztkosten in voller Höhe zu Lasten des betreibungsrechtlichen Notbedarfs zuzugestehen.</w:t>
      </w:r>
    </w:p>
    <w:p>
      <w:r>
        <w:rPr>
          <w:b/>
        </w:rPr>
        <w:t>E. 2</w:t>
      </w:r>
    </w:p>
    <w:p>
      <w:r>
        <w:t>Mit Vernehmlassung vom 16. April 2026 schliesst das Betreibungsamt auf Abweisung der Beschwerde.</w:t>
      </w:r>
    </w:p>
    <w:p>
      <w:r>
        <w:rPr>
          <w:b/>
        </w:rPr>
        <w:t>E. 3</w:t>
      </w:r>
    </w:p>
    <w:p>
      <w:r>
        <w:t>Mit dem sofortigen Entscheid in der Sache ist das Gesuch um Erteilung der aufschiebenden Wirkung gegenstandslos geworden.</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Vizepräsidentin                                                           Der Gerichtsschreiber</w:t>
      </w:r>
    </w:p>
    <w:p>
      <w:r>
        <w:t>Obrecht SteinerIsch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