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SCBES.2026.11 vom 3. März 2026</w:t>
      </w:r>
    </w:p>
    <w:p>
      <w:r>
        <w:t>SO Obergericht, 2026-03-03, DE</w:t>
      </w:r>
    </w:p>
    <w:p>
      <w:r>
        <w:rPr>
          <w:b/>
        </w:rPr>
        <w:t xml:space="preserve">Quelle: </w:t>
      </w:r>
      <w:r>
        <w:t>https://mcp.opencaselaw.ch/entscheid/so_gerichte_SCBES.2026.11</w:t>
      </w:r>
    </w:p>
    <w:p>
      <w:r>
        <w:t>FR: SO_GERICHTE SCBES.2026.11 du 3 mars 2026</w:t>
      </w:r>
    </w:p>
    <w:p>
      <w:r>
        <w:t>IT: SO_GERICHTE SCBES.2026.11 del 3 marzo 2026</w:t>
      </w:r>
    </w:p>
    <w:p>
      <w:pPr>
        <w:pStyle w:val="Heading2"/>
      </w:pPr>
      <w:r>
        <w:t>Erwägungen</w:t>
      </w:r>
    </w:p>
    <w:p>
      <w:r>
        <w:rPr>
          <w:b/>
        </w:rPr>
        <w:t>E. 1</w:t>
      </w:r>
    </w:p>
    <w:p>
      <w:r>
        <w:t>Am 16. Januar 2026 berechnete das Betreibungsamt Olten-Gösgen das Existenzminimum und die monatlich pfändbare Quote von B.___ und pfändete von deren Einkommen den das Existenzminimum von CHF 3803.00 übersteigenden Betrag.</w:t>
      </w:r>
    </w:p>
    <w:p>
      <w:r>
        <w:rPr>
          <w:b/>
        </w:rPr>
        <w:t>E. 2</w:t>
      </w:r>
    </w:p>
    <w:p>
      <w:r>
        <w:t>Dagegen erhob der Ehemann der Schuldnerin A.___ (im Folgenden der Beschwerdeführer) mit Datum vom 20. Januar 2026 fristgerecht Beschwerde an die Aufsichtsbehörde für Schuldbetreibung und Konkurs. Er beanstandete verschiedene Unstimmigkeiten und verlangte den Ausstand der Sachbearbeiterin C.___.</w:t>
      </w:r>
    </w:p>
    <w:p>
      <w:r>
        <w:rPr>
          <w:b/>
        </w:rPr>
        <w:t>E. 3</w:t>
      </w:r>
    </w:p>
    <w:p>
      <w:r>
        <w:t>Die Beschwerde wird abgewiesen.Das Beschwerdeverfahren vor der Aufsichtsbehörde für Schuldbetreibung und Konkurs ist grundsätzlich kostenlos. Bei mutwilliger Prozessführung können einer Partei aber Bussen bis zu CHF 1500.00 sowie Gebühren und Auslagen auferlegt werden (Art. 20a Abs. 2 Ziff. 5 SchKG). Im vorliegenden Fall ist von einer Kostenauflage noch abzusehen. Der Beschwerdeführer ist jedoch darauf aufmerksam zu machen, dass ihm inskünftig bei mutwilliger Beschwerdeführung Kosten und allenfalls sogar Bussen auferlegt werden könnten.Die Ausrichtung einer Parteientschädigung kommt ohnehin nicht in Betracht (Art. 62 Abs. 2 GebV SchKG).</w:t>
      </w:r>
    </w:p>
    <w:p>
      <w:r>
        <w:t>Demnach wirderkannt:</w:t>
      </w:r>
    </w:p>
    <w:p>
      <w:r>
        <w:t>1.Die Beschwerde wird abgewiesen.</w:t>
      </w:r>
    </w:p>
    <w:p>
      <w:r>
        <w:t>2.Es werden keine Kosten erhoben.</w:t>
      </w:r>
    </w:p>
    <w:p>
      <w:r>
        <w:t>3.A.___ wird darauf hingewiesen, dass ihm inskünftig bei mutwilliger Prozessführung Gebühren und Auslagen und allenfalls sogar Bussen auferlegt werden könnten.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