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SCBES.2025.99 vom 24. Oktober 2025</w:t>
      </w:r>
    </w:p>
    <w:p>
      <w:r>
        <w:t>SO Obergericht, 2025-10-24, DE</w:t>
      </w:r>
    </w:p>
    <w:p>
      <w:r>
        <w:rPr>
          <w:b/>
        </w:rPr>
        <w:t xml:space="preserve">Quelle: </w:t>
      </w:r>
      <w:r>
        <w:t>https://mcp.opencaselaw.ch/entscheid/so_gerichte_SCBES.2025.99</w:t>
      </w:r>
    </w:p>
    <w:p>
      <w:r>
        <w:t>FR: SO_GERICHTE SCBES.2025.99 du 24 octobre 2025</w:t>
      </w:r>
    </w:p>
    <w:p>
      <w:r>
        <w:t>IT: SO_GERICHTE SCBES.2025.99 del 24 ottobre 2025</w:t>
      </w:r>
    </w:p>
    <w:p>
      <w:pPr>
        <w:pStyle w:val="Heading2"/>
      </w:pPr>
      <w:r>
        <w:t>Erwägungen</w:t>
      </w:r>
    </w:p>
    <w:p>
      <w:r>
        <w:rPr>
          <w:b/>
        </w:rPr>
        <w:t>E. 1</w:t>
      </w:r>
    </w:p>
    <w:p>
      <w:r>
        <w:t>Mit Eingabe vom 25. September 2025 erhebt A.___ als Schuldner fristgerecht Beschwerde gegen den Pfändungsvollzug des Betreibungsamtes Region Solothurn vom 19. September 2025. Zur Begründung führt er im Wesentlichen aus, die Lohnpfändung sei rechtswidrig. Die Lohnpfändung schade seinem Wiedereinstieg in die Arbeitswelt. Zudem habe er mit Frau B.___ Ratenzahlungen vereinbart.  Des Weiteren bringt der Beschwerdeführer sinngemäss verschiedene Rügen gegen das Urteil der Aufsichtsbehörde für Schuldbetreibung und Konkurs SCBES.2025.85 vom 26. September 2025 vor.</w:t>
      </w:r>
    </w:p>
    <w:p>
      <w:r>
        <w:rPr>
          <w:b/>
        </w:rPr>
        <w:t>E. 2</w:t>
      </w:r>
    </w:p>
    <w:p>
      <w:r>
        <w:t>Mit Vernehmlassung vom 7. Oktober 2025 beantragt das Betreibungsamt, auf die Beschwerde sei nicht einzutreten.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