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SCBES.2025.61 vom 18. Juli 2025</w:t>
      </w:r>
    </w:p>
    <w:p>
      <w:r>
        <w:t>SO Obergericht, 2025-07-18, DE</w:t>
      </w:r>
    </w:p>
    <w:p>
      <w:r>
        <w:rPr>
          <w:b/>
        </w:rPr>
        <w:t xml:space="preserve">Quelle: </w:t>
      </w:r>
      <w:r>
        <w:t>https://mcp.opencaselaw.ch/entscheid/so_gerichte_SCBES.2025.61_d20250718</w:t>
      </w:r>
    </w:p>
    <w:p>
      <w:r>
        <w:t>FR: SO_GERICHTE SCBES.2025.61 du 18 juillet 2025</w:t>
      </w:r>
    </w:p>
    <w:p>
      <w:r>
        <w:t>IT: SO_GERICHTE SCBES.2025.61 del 18 luglio 2025</w:t>
      </w:r>
    </w:p>
    <w:p>
      <w:pPr>
        <w:pStyle w:val="Heading2"/>
      </w:pPr>
      <w:r>
        <w:t>Regeste</w:t>
      </w:r>
    </w:p>
    <w:p>
      <w:r>
        <w:t>Berechnung des Existenzminimums</w:t>
      </w:r>
    </w:p>
    <w:p>
      <w:pPr>
        <w:pStyle w:val="Heading2"/>
      </w:pPr>
      <w:r>
        <w:t>Erwägungen</w:t>
      </w:r>
    </w:p>
    <w:p>
      <w:r>
        <w:rPr>
          <w:b/>
        </w:rPr>
        <w:t>E. 1</w:t>
      </w:r>
    </w:p>
    <w:p>
      <w:r>
        <w:t>Mit Verfügung vom 17. Februar 2025 des Betreibungsamtes Thal-Gäu erfolgte eine Revision der Lohn- bzw. Einkommenspfändung.</w:t>
      </w:r>
    </w:p>
    <w:p>
      <w:r>
        <w:rPr>
          <w:b/>
        </w:rPr>
        <w:t>E. 2</w:t>
      </w:r>
    </w:p>
    <w:p>
      <w:r>
        <w:t>Mit Eingabe, datiert vom 27. Mai 2025 (der Aufsichtsbehörde für Schuldbetreibung und Konkurs am 12. Juni 2025 zugegangen), erhebt A.___ als Schuldner Beschwerde bei der Aufsichtsbehörde und macht geltend, er bezahle CHF 1'750.00 Miete zuzüglich Nebenkosten von CHF 250.00. Seit der letzten Verfügung des Betreibungsamtes sei die Miete um CHF 80.00 gestiegen. Zudem rechne das Betreibungsamt seine Krankenkassenprämien sowie seine Krankheitskosten, welche er selbst zu tragen habe, nicht ein. Sodann habe er Zahnarztrechnungen, da er aufgrund seiner Implantate alle sechs Monate eine Reinigung machen lassen müsse. Schliesslich erhalte er Ergänzungsleistungen. Nun nehme das Betreibungsamt sein Geld einfach auf Umwegen beim Arbeitgeber.</w:t>
      </w:r>
    </w:p>
    <w:p>
      <w:r>
        <w:rPr>
          <w:b/>
        </w:rPr>
        <w:t>E. 3</w:t>
      </w:r>
    </w:p>
    <w:p>
      <w:r>
        <w:t>Auf die Beschwerde ist demnach nicht einzutreten. Das Beschwerdeverfahren ist nach Art. 20a SchKG und Art. 61 Abs. 2 lit. a Gebührenverordnung zum SchKG unentgeltlich. Die Ausrichtung einer Parteientschädigung kommt nicht in Betracht (Art. 62 Abs. 2 GebV SchKG).</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