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SCBES.2025.41 vom 16. Juni 2025</w:t>
      </w:r>
    </w:p>
    <w:p>
      <w:r>
        <w:t>SO Obergericht, 2025-06-16, DE</w:t>
      </w:r>
    </w:p>
    <w:p>
      <w:r>
        <w:rPr>
          <w:b/>
        </w:rPr>
        <w:t xml:space="preserve">Quelle: </w:t>
      </w:r>
      <w:r>
        <w:t>https://mcp.opencaselaw.ch/entscheid/so_gerichte_SCBES.2025.41</w:t>
      </w:r>
    </w:p>
    <w:p>
      <w:r>
        <w:t>FR: SO_GERICHTE SCBES.2025.41 du 16 juin 2025</w:t>
      </w:r>
    </w:p>
    <w:p>
      <w:r>
        <w:t>IT: SO_GERICHTE SCBES.2025.41 del 16 giugno 2025</w:t>
      </w:r>
    </w:p>
    <w:p>
      <w:pPr>
        <w:pStyle w:val="Heading2"/>
      </w:pPr>
      <w:r>
        <w:t>Erwägungen</w:t>
      </w:r>
    </w:p>
    <w:p>
      <w:r>
        <w:rPr>
          <w:b/>
        </w:rPr>
        <w:t>E. 1</w:t>
      </w:r>
    </w:p>
    <w:p>
      <w:r>
        <w:t>Mit Eingabe vom 7. Mai 2025 lässt A.___ als Schuldner fristgerecht Beschwerde gegen die Pfändungsverfügung des Betreibungsamtes Thal-Gäu vom 28. April 2025 erheben, woraus ersichtlich ist, dass vom Konto des Schuldners bei der C.___AG ein Betrag von CHF 3'200.00 gepfändet wurde. Der Schuldner macht in diesem Zusammenhang geltend, bei dem betreffenden Konto handle es sich um ein Durchgangskonto, auf welchem Renten eingingen und laufend wieder abgehoben würden, weswegen dieser Saldo nicht pfändbar sei. Es sei zwar richtig, dass dieser Saldo sich vorübergehend etwas höher als gewohnt präsentiere, dies sei jedoch dem Umstand geschuldet, dass die jüngsten Heimrechnungen für die Monate April und Mai 2025 in Höhe von jeweils rund CHF 4'500.00 noch unbeglichen seien (siehe Beschwerdebeilage 4). Hinzukommend fielen in den kommenden Tagen noch finanzielle Aufwendungen in Sachen definitive Wohnungsabgabe in [...] an, wofür der Beschwerdeführer ebenfalls noch Guthaben benötige. Somit sei die verfügte Pfändung ersatzlos aufzuheben.</w:t>
      </w:r>
    </w:p>
    <w:p>
      <w:r>
        <w:rPr>
          <w:b/>
        </w:rPr>
        <w:t>E. 2</w:t>
      </w:r>
    </w:p>
    <w:p>
      <w:r>
        <w:t>Mit Vernehmlassung vom 22. Mai 2025 schliesst das Betreibungsamt auf Abweisung der Beschwerde.</w:t>
      </w:r>
    </w:p>
    <w:p>
      <w:r>
        <w:t>II.</w:t>
      </w:r>
    </w:p>
    <w:p>
      <w:r>
        <w:t>1. Renten der Alters- und Hinterlassenenversicherung sind nach Art. 92 Abs. 1 Ziff. 9a SchKG unpfändbar. Diese Bestimmung schützt nicht nur die Leistung an sich, sondern auch das Bankkonto, auf welchem die ausgerichteten Gelder anfallen, jedenfalls so lange, als das Bankkonto ein reines «Durchgangskonto» darstellt, auf welchem die Renten eingehen und laufend wieder abgehoben werden (BSK SchKG I -Vonder Mühll,</w:t>
      </w:r>
    </w:p>
    <w:p>
      <w:r>
        <w:rPr>
          <w:b/>
        </w:rPr>
        <w:t>E. 3</w:t>
      </w:r>
    </w:p>
    <w:p>
      <w:r>
        <w:t>Die Beschwerde ist demnach abzuweisen.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