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SCBES.2025.18 vom 9. April 2025</w:t>
      </w:r>
    </w:p>
    <w:p>
      <w:r>
        <w:t>SO Obergericht, 2025-04-09, DE</w:t>
      </w:r>
    </w:p>
    <w:p>
      <w:r>
        <w:rPr>
          <w:b/>
        </w:rPr>
        <w:t xml:space="preserve">Quelle: </w:t>
      </w:r>
      <w:r>
        <w:t>https://mcp.opencaselaw.ch/entscheid/so_gerichte_SCBES.2025.18</w:t>
      </w:r>
    </w:p>
    <w:p>
      <w:r>
        <w:t>FR: SO_GERICHTE SCBES.2025.18 du 9 avril 2025</w:t>
      </w:r>
    </w:p>
    <w:p>
      <w:r>
        <w:t>IT: SO_GERICHTE SCBES.2025.18 del 9 aprile 2025</w:t>
      </w:r>
    </w:p>
    <w:p>
      <w:pPr>
        <w:pStyle w:val="Heading2"/>
      </w:pPr>
      <w:r>
        <w:t>Erwägungen</w:t>
      </w:r>
    </w:p>
    <w:p>
      <w:r>
        <w:rPr>
          <w:b/>
        </w:rPr>
        <w:t>E. 1</w:t>
      </w:r>
    </w:p>
    <w:p>
      <w:r>
        <w:t>Mit Eingabe vom 25. Februar 2025 erhebt A.___ Beschwerde gegen den Pfändungsvollzug vom 4. Februar 2025 und macht im Wesentlichen geltend, ihr Auto sei aus der Pfandhaft zu entlassen. So sei sie auf das Fahrzeug angewiesen, weil sie oft Arzttermine sowie Therapiesitzungen habe, unter starken Rückenschmerzen leide und die Termine ohne eigenes Fahrzeug nur schwer bewältigen könne. Zudem betreue sie ihre Enkelkinder mehrmals pro Woche und übernehme den Transport zum Kindergarten, Arztterminen, Sportveranstaltungen und anderen wichtigen Aktivitäten. Die beiden Eltern der Kinder seien beide berufstätig. Somit sei die Unterstützung durch die Beschwerdeführerin unerlässlich.</w:t>
      </w:r>
    </w:p>
    <w:p>
      <w:r>
        <w:rPr>
          <w:b/>
        </w:rPr>
        <w:t>E. 2</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