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SCBES.2024.3 vom 5. Februar 2024</w:t>
      </w:r>
    </w:p>
    <w:p>
      <w:r>
        <w:t>SO Obergericht, 2024-02-05, DE</w:t>
      </w:r>
    </w:p>
    <w:p>
      <w:r>
        <w:rPr>
          <w:b/>
        </w:rPr>
        <w:t xml:space="preserve">Quelle: </w:t>
      </w:r>
      <w:r>
        <w:t>https://mcp.opencaselaw.ch/entscheid/so_gerichte_SCBES.2024.3</w:t>
      </w:r>
    </w:p>
    <w:p>
      <w:r>
        <w:t>FR: SO_GERICHTE SCBES.2024.3 du 5 février 2024</w:t>
      </w:r>
    </w:p>
    <w:p>
      <w:r>
        <w:t>IT: SO_GERICHTE SCBES.2024.3 del 5 febbraio 2024</w:t>
      </w:r>
    </w:p>
    <w:p>
      <w:pPr>
        <w:pStyle w:val="Heading2"/>
      </w:pPr>
      <w:r>
        <w:t>Erwägungen</w:t>
      </w:r>
    </w:p>
    <w:p>
      <w:r>
        <w:rPr>
          <w:b/>
        </w:rPr>
        <w:t>E. 1</w:t>
      </w:r>
    </w:p>
    <w:p>
      <w:r>
        <w:t>Mit Schreiben vom 10. Januar 2024 erhebt A.___ als Schuldner Beschwerde gegen die Existenzminimumberechnung vom 18. Dezember 2023 und bringt im Wesentlichen vor, er gehe morgens um 4 Uhr aus dem Haus zur Arbeit. Somit sei er zwingend auf sein Auto angewiesen. Zudem sei er während der Arbeit fast 13 Stunden aus dem Haus, weshalb er zwei Mahlzeiten auswärts einnehme. Dies sei entsprechend einzurechnen. Zudem betrage der Mietzins ab 1. Februar 2024 neu CHF 1'430.00 und nicht mehr CHF 1'300.00, was ebenfalls zu berücksichtigen sei.</w:t>
      </w:r>
    </w:p>
    <w:p>
      <w:r>
        <w:rPr>
          <w:b/>
        </w:rPr>
        <w:t>E. 2</w:t>
      </w:r>
    </w:p>
    <w:p>
      <w:r>
        <w:t>Mit Vernehmlassung vom 17. Januar 2024 beantragt das Betreibungsamt, die Beschwerde sei abzuweisen, sofern darauf einzutreten sei.</w:t>
      </w:r>
    </w:p>
    <w:p>
      <w:r>
        <w:rPr>
          <w:b/>
        </w:rPr>
        <w:t>E. 3</w:t>
      </w:r>
    </w:p>
    <w:p>
      <w:r>
        <w:t>Schliesslich ist auf das Begehren des Beschwerdeführers einzugehen, es seien ihm die Kosten für zwei Mahlzeiten pro Tag einzurechnen. Gemäss den Richtlinien für die Berechnung des Existenzminimums der Aufsichtsbehörde für Schuldbetreibung und Konkurs vom 13. Oktober 2014 kann beim Nachweis von Mehrauslagen für die auswärtige Verpflegung CHF 9.00 bis CHF 11.00 für jede Hauptmalzeit eingerechnet werden. Der Beschwerdeführer hat die Notwendigkeit von zwei auswärtig einzunehmenden Hauptmahlzeiten pro Tag bislang nicht belegt. Somit ist er diesbezüglich auf den Revisionsweg zu verweisen, womit auf die Beschwerde in diesem Punkte ebenfalls nicht einzutreten ist.</w:t>
      </w:r>
    </w:p>
    <w:p>
      <w:r>
        <w:rPr>
          <w:b/>
        </w:rPr>
        <w:t>E. 4</w:t>
      </w:r>
    </w:p>
    <w:p>
      <w:r>
        <w:t>Auf die Beschwerde ist demnach nicht einzutreten. Das Beschwerdeverfahren ist nach Art. 20a SchKG und Art. 61 Abs. 2 lit. a GebV SchKG unentgeltlich. Die Ausrichtung einer Parteientschädigung kommt nicht in Betracht (Art. 62 Abs. 2 GebV SchKG).</w:t>
      </w:r>
    </w:p>
    <w:p>
      <w:r>
        <w:t>Demnach wirderkannt:</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