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SCBES.2024.28 vom 1. März 2024</w:t>
      </w:r>
    </w:p>
    <w:p>
      <w:r>
        <w:t>SO Obergericht, 2024-03-01, DE</w:t>
      </w:r>
    </w:p>
    <w:p>
      <w:r>
        <w:rPr>
          <w:b/>
        </w:rPr>
        <w:t xml:space="preserve">Quelle: </w:t>
      </w:r>
      <w:r>
        <w:t>https://mcp.opencaselaw.ch/entscheid/so_gerichte_SCBES.2024.28</w:t>
      </w:r>
    </w:p>
    <w:p>
      <w:r>
        <w:t>FR: SO_GERICHTE SCBES.2024.28 du 1 mars 2024</w:t>
      </w:r>
    </w:p>
    <w:p>
      <w:r>
        <w:t>IT: SO_GERICHTE SCBES.2024.28 del 1 marzo 2024</w:t>
      </w:r>
    </w:p>
    <w:p>
      <w:pPr>
        <w:pStyle w:val="Heading2"/>
      </w:pPr>
      <w:r>
        <w:t>Erwägungen</w:t>
      </w:r>
    </w:p>
    <w:p>
      <w:r>
        <w:rPr>
          <w:b/>
        </w:rPr>
        <w:t>E. 2</w:t>
      </w:r>
    </w:p>
    <w:p>
      <w:r>
        <w:t>Gegen diese Verfügung lässt die Beschwerdeführerin, vertreten durch die B.___ AG, am 12. März 2024 (Datum Postaufgabe) fristgerecht Beschwerde bei der Aufsichtsbehörde für Schuldbetreibung und Konkurs erheben und macht im Wesentlichen geltend, die Beschwerdeführerin habe die gegen sie bestehende Forderung an die B.___ AG abgetreten. Die Zahlung vom 8. September 2023 sei danach ausschliesslich durch die B.___ AG getätigt worden. Somit sei die Betreibung Dritten nicht mehr bekannt zu geben.</w:t>
      </w:r>
    </w:p>
    <w:p>
      <w:r>
        <w:rPr>
          <w:b/>
        </w:rPr>
        <w:t>E. 3</w:t>
      </w:r>
    </w:p>
    <w:p>
      <w:r>
        <w:t>Mit Vernehmlassung vom 22. März 2024 stellt das Betreibungsamt den Antrag, die Beschwerde sei abzuweisen. Zur Begründung wird im Wesentlichen ausgeführt, mit Art. 8a Abs. 3 lit. d SchKG habe der Gesetzgeber dem Betriebenen die Möglichkeit geben wollen, ungerechtfertigte Betreibungen Dritten gegenüber nicht mehr sichtbar zu machen. Mit der Bezahlung der Betreibung habe die Beschwerdeführerin die Forderung anerkannt, womit die Betreibung als gerechtfertigt erscheine und sich ein Verfahren nach Art. 8a Abs. 3 lit. d SchKG nach bundesgerichtlicher Rechtsprechung (BGE 147 III 486) erübrige. Die Schuldübernahme durch die B.___ AG sei in diesem Zusammenhang irrelevant.</w:t>
      </w:r>
    </w:p>
    <w:p>
      <w:r>
        <w:rPr>
          <w:b/>
        </w:rPr>
        <w:t>E. 4</w:t>
      </w:r>
    </w:p>
    <w:p>
      <w:r>
        <w:t>Die Verfügung des Betreibungsamtes Region Solothurn vom 1. März 2024 ist somit zu bestätigen und die dagegen erhobene Beschwerde abzuweisen. Die Betreibung Nr. [...] des Betreibungsamtes Region Solothurn bleibt demnach für Dritte weiterhin einsehbar.</w:t>
      </w:r>
    </w:p>
    <w:p>
      <w:r>
        <w:rPr>
          <w:b/>
        </w:rPr>
        <w:t>E. 5</w:t>
      </w:r>
    </w:p>
    <w:p>
      <w:r>
        <w:t>Das Beschwerdeverfahren ist nach Art. 20a SchKG und Art. 61 Abs. 2 lit. a GebV SchKG unentgeltlich. Die Ausrichtung einer Parteientschädigung kommt nicht in Betracht (Art. 62 Abs. 2 GebV SchKG).</w:t>
      </w:r>
    </w:p>
    <w:p>
      <w:r>
        <w:t>Demnach wirderkannt:</w:t>
      </w:r>
    </w:p>
    <w:p>
      <w:r>
        <w:t>1.Die Beschwerde wird abgewiesen. Die Betreibung Nr. [...] des Betreibungsamtes Region Solothurn bleibt für Dritte weiterhin einsehbar.</w:t>
      </w:r>
    </w:p>
    <w:p>
      <w:r>
        <w:t>2.Es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Die Präsidentin                                                                 Der Gerichtsschreiber</w:t>
      </w:r>
    </w:p>
    <w:p>
      <w:r>
        <w:t>Hunkeler                                                                           Isch</w:t>
      </w:r>
    </w:p>
    <w:p>
      <w:r>
        <w:t>Das Bundesgericht hat mit Urteil vom 29. August 2024 die dagegen erhobene Beschwerde gutgeheissen (BGer 5A_245/2024).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