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SCBES.2023.69 vom 2. November 2023</w:t>
      </w:r>
    </w:p>
    <w:p>
      <w:r>
        <w:t>SO Obergericht, 2023-11-02, DE</w:t>
      </w:r>
    </w:p>
    <w:p>
      <w:r>
        <w:rPr>
          <w:b/>
        </w:rPr>
        <w:t xml:space="preserve">Quelle: </w:t>
      </w:r>
      <w:r>
        <w:t>https://mcp.opencaselaw.ch/entscheid/so_gerichte_SCBES.2023.69</w:t>
      </w:r>
    </w:p>
    <w:p>
      <w:r>
        <w:t>FR: SO_GERICHTE SCBES.2023.69 du 2 novembre 2023</w:t>
      </w:r>
    </w:p>
    <w:p>
      <w:r>
        <w:t>IT: SO_GERICHTE SCBES.2023.69 del 2 novembre 2023</w:t>
      </w:r>
    </w:p>
    <w:p>
      <w:pPr>
        <w:pStyle w:val="Heading2"/>
      </w:pPr>
      <w:r>
        <w:t>Erwägungen</w:t>
      </w:r>
    </w:p>
    <w:p>
      <w:r>
        <w:rPr>
          <w:b/>
        </w:rPr>
        <w:t>E. 1</w:t>
      </w:r>
    </w:p>
    <w:p>
      <w:r>
        <w:t>Mit Schreiben vom 2. Oktober 2023 lässt A.___ als Schuldnerin fristgerecht Beschwerde gegen die Existenzminimumberechnung und die Pfändungsverfügung des Betreibungsamtes Olten-Gösgen vom 18. September 2023 (der Schuldnerin gemäss Track &amp; Trace am 22. September 2023 zugegangen) erheben. Sie stellt folgende Rechtsbegehren:</w:t>
      </w:r>
    </w:p>
    <w:p>
      <w:r>
        <w:rPr>
          <w:b/>
        </w:rPr>
        <w:t>E. 2</w:t>
      </w:r>
    </w:p>
    <w:p>
      <w:r>
        <w:t>Mit Vernehmlassung vom 13. Oktober 2023 schliesst das Betreibungsamt auf Abweisung der Beschwerde.</w:t>
      </w:r>
    </w:p>
    <w:p>
      <w:r>
        <w:rPr>
          <w:b/>
        </w:rPr>
        <w:t>E. 3</w:t>
      </w:r>
    </w:p>
    <w:p>
      <w:r>
        <w:t>Sodann rügt die Beschwerdeführerin, der PW F.___, werde von ihren Eltern benützt, die auf das Auto für die Kinderbetreuung angewiesen seien (Fahrt zum Wohnort der Kinder, Transport zu Terminen, etc.). Er sei deshalb als unpfändbar zu erklären. Beim PW F.___ sei zudem ein Schätzungswert von CHF 26000.00 eingesetzt worden. Dieser sei viel zu hoch. Gemäss Auskunft des Garagisten könnte bei einem Eintausch des Fahrzeuges höchstens ein Betrag von CHF 15000.00 angerechnet werden. Wie diesbezüglich der Vernehmlassung des Betreibungsamtes zu entnehmen ist, sind auf die Beschwerdeführerin drei Personenwagen eingelöst. Die beiden Fahrzeuge der Marke [...] werden von der Leasinggesellschaft zu Eigentum angesprochen. Demnach könnte die Beschwerdeführerin zumindest einen der [...] den Eltern zum Gebrauch überlassen, weshalb dem F.___ bereits aus diesem Grund nicht Kompetenzcharakter zukommen könnte. Wie zudem ein Blick auf www.autoscout24.ch zeigt, ist es durchaus nicht unrealistisch, dass beim betreffenden Fahrzeug mit Jahrgang [] und Kilometerstand 50'000.00 ein Kaufpreis in dem vom Betreibungsamt geschätzten Bereich erzielt werden kann. Der von der Beschwerdeführerin genannte Schätzungspreis von CHF 15'000.00 erscheint dagegen zu tief.</w:t>
      </w:r>
    </w:p>
    <w:p>
      <w:r>
        <w:rPr>
          <w:b/>
        </w:rPr>
        <w:t>E. 4</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wird keine Parteientschädigung zugesprochen.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von Felten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