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SCBES.2023.64 vom 13. Oktober 2023</w:t>
      </w:r>
    </w:p>
    <w:p>
      <w:r>
        <w:t>SO Obergericht, 2023-10-13, DE</w:t>
      </w:r>
    </w:p>
    <w:p>
      <w:r>
        <w:rPr>
          <w:b/>
        </w:rPr>
        <w:t xml:space="preserve">Quelle: </w:t>
      </w:r>
      <w:r>
        <w:t>https://mcp.opencaselaw.ch/entscheid/so_gerichte_SCBES.2023.64</w:t>
      </w:r>
    </w:p>
    <w:p>
      <w:r>
        <w:t>FR: SO_GERICHTE SCBES.2023.64 du 13 octobre 2023</w:t>
      </w:r>
    </w:p>
    <w:p>
      <w:r>
        <w:t>IT: SO_GERICHTE SCBES.2023.64 del 13 ottobre 2023</w:t>
      </w:r>
    </w:p>
    <w:p>
      <w:pPr>
        <w:pStyle w:val="Heading2"/>
      </w:pPr>
      <w:r>
        <w:t>Erwägungen</w:t>
      </w:r>
    </w:p>
    <w:p>
      <w:r>
        <w:rPr>
          <w:b/>
        </w:rPr>
        <w:t>E. 3</w:t>
      </w:r>
    </w:p>
    <w:p>
      <w:r>
        <w:t>Auflage, Art. 92 N 38) bzw. wenn die unumgänglichen Ausgaben des betreffenden Monats, für welchen die Rente bestimmt ist, bezahlt sind (BSK SchKG EB - Staehelin, Art. 92 ad N 37). Ab welchem Betrag ein Saldo eines solchen Kontos pfändbares Sparguthaben darstellt, hat das Betreibungsamt (und gegebenenfalls die Aufsichtsbehörde) nach pflichtgemässem Ermessen zu entscheiden. 2.       Es ist daher zu prüfen, ob es sich beim fraglichen Konto des Beschwerdeführers um ein Durchgangskonto handelt. Wie aus dem vom Betreibungsamt eingereichten Kontoauszug ersichtlich, verbleiben dem Schuldner nach der Pfändung des Betrages von CHF 12'298.40 immer noch CHF 21'295.93. Daraus ist zu schliessen, dass es sich bei dem betreffenden Konto nicht um ein reines Durchgangskonto handeln kann. Des Weiteren ist Folgendes zu berücksichtigen: Zur Zeit der Pfändung oder des Arrestes bereits fällige, aus beschränkt pfändbarem Einkommen resultierende Guthaben (z.B. ein Prozessgewinn, ausstehendes Honorar, Ersparnisse auf dem Lohnkonto) sind zwar normalerweise vollumfänglich pfändbar und der Schuldner ist für die Bestreitung seiner Lebenshaltungskosten auf das laufende Einkommen zu verweisen. Ist er dagegen zufolge gänzlicher oder teilweiser Einkommenslosigkeit zur Bestreitung seines Notbedarfs auf jenen Anspruch angewiesen, so ist er ihm nach der Rechtsprechung analog zu Art. 92 Abs. 1 Ziff. 5 SchKG bis zu dem Betrag freizugeben, den er für seinen Lebensunterhalt während zweier Monate unbedingt benötigt. Nur dem Schuldner, der dauernd ohne oder mit stark beschränktem Einkommen zu leben hat, ist unter Umständen der gesamte Betrag i.S.v. Art. 93 SchKG zu belassen (BSK SchKG I-Vonder Mühll, a.a.O., Art. 93 N. 3; BGE 92 III 6, 7 f. m.H.; AB BS, BJM 2005, 42, 44 f.). Im Lichte des vom Betreibungsamtes errechneten Anteils des Schuldners am gemeinschaftlichen Existenzminimum, der durch die unpfändbare Rente von CHF 1'575.00 gedeckt ist, kann der Beschwerdeführer mit dem ihm verbleibenden Sparguthaben von CHF 21'295.93 seinen Lebensunterhalt fraglos während mehr als zwei Monaten bestreiten. 3.       Die Beschwerde ist demnach abzuweisen.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