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SCBES.2023.59 vom 4. Oktober 2023</w:t>
      </w:r>
    </w:p>
    <w:p>
      <w:r>
        <w:t>SO Obergericht, 2023-10-04, DE</w:t>
      </w:r>
    </w:p>
    <w:p>
      <w:r>
        <w:rPr>
          <w:b/>
        </w:rPr>
        <w:t xml:space="preserve">Quelle: </w:t>
      </w:r>
      <w:r>
        <w:t>https://mcp.opencaselaw.ch/entscheid/so_gerichte_SCBES.2023.59</w:t>
      </w:r>
    </w:p>
    <w:p>
      <w:r>
        <w:t>FR: SO_GERICHTE SCBES.2023.59 du 4 octobre 2023</w:t>
      </w:r>
    </w:p>
    <w:p>
      <w:r>
        <w:t>IT: SO_GERICHTE SCBES.2023.59 del 4 ottobre 2023</w:t>
      </w:r>
    </w:p>
    <w:p>
      <w:pPr>
        <w:pStyle w:val="Heading2"/>
      </w:pPr>
      <w:r>
        <w:t>Erwägungen</w:t>
      </w:r>
    </w:p>
    <w:p>
      <w:r>
        <w:rPr>
          <w:b/>
        </w:rPr>
        <w:t>E. 1</w:t>
      </w:r>
    </w:p>
    <w:p>
      <w:r>
        <w:t>Mit Eingabe vom 24. August 2023 erhebt A.___ als Schuldnerin fristgerecht Beschwerde gegen die Zahlungsbefehle Nr. [...] und [...] des Betreibungsamtes Olten-Gösgen (der Schuldnerin zugestellt am 14. August 2023) und macht geltend, die Zahlungsbefehle seien für nichtig zu erklären oder aufzuheben. Zur Begründung führt sie im Wesentlichen aus, die Zahlungsbefehle enthielten keine Unterschrift. Bei der fraglichen Unterschrift handle es sich um einen Druck oder um eine Fotokopie. Damit eine Verfügung rechtsgültig sei, müsse sie eine handschriftliche Unterschrift enthalten. Das vorliegende Fehlen einer handschriftlichen Unterschrift führe daher zwangsweise zur Nichtigkeit des «Zahlungsbefehls», jedenfalls aber zu dessen Anfechtbarkeit. Zum gleichen Resultat führe auch der Umstand, dass aus den «Zahlungsbefehlen» nicht hervorgehe, wer ihn unterschrieben habe. Damit könne weder die Identität des «Unterzeichnenden» eruiert werden, noch könne abgeklärt werden ob er (oder sie) zur Unterzeichnung dieses «Zahlungsbefehles» überhaupt befugt gewesen sei. Hier sei auch zu überprüfen, ob es überhaupt noch Betreibungsbeamte gebe, nachdem 2002 der Beamtenstatus aufgehoben worden sei.</w:t>
      </w:r>
    </w:p>
    <w:p>
      <w:r>
        <w:rPr>
          <w:b/>
        </w:rPr>
        <w:t>E. 2</w:t>
      </w:r>
    </w:p>
    <w:p>
      <w:r>
        <w:t>Mit Vernehmlassung vom 6. September 2023 stellt das Betreibungsamt den Antrag, die Beschwerde sei abzuweisen, sofern darauf einzutreten sei.</w:t>
      </w:r>
    </w:p>
    <w:p>
      <w:r>
        <w:rPr>
          <w:b/>
        </w:rPr>
        <w:t>E. 3</w:t>
      </w:r>
    </w:p>
    <w:p>
      <w:r>
        <w:t>Insofern die Beschwerdeführerin schliesslich geltend macht, die vom Betreibungsamt genannte «aufsichtsrechtliche Weisung der Aufsichtsbehörde für Schuldbetreibung und Konkurs» liege ihr nicht vor, ist sie darauf hinzuweisen, dass es sich hierbei um den Beschluss der Aufsichtsbehörde für Schuldbetreibung und Konkurs vom 31. Januar 2002 handelt, welche sie selbst als Beschwerdebeilage 1 eingereicht hat. Somit erübrigt es sich, ihr diesbezüglich die von ihr beantragte Möglichkeit zur Stellungnahme zu gewähren.</w:t>
      </w:r>
    </w:p>
    <w:p>
      <w:r>
        <w:rPr>
          <w:b/>
        </w:rPr>
        <w:t>E. 4</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